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FF" w:rsidRDefault="005E15FF" w:rsidP="00DA5139">
      <w:pPr>
        <w:numPr>
          <w:ilvl w:val="12"/>
          <w:numId w:val="0"/>
        </w:numPr>
        <w:jc w:val="center"/>
        <w:rPr>
          <w:rFonts w:ascii="Arial" w:hAnsi="Arial" w:cs="Arial"/>
          <w:b/>
          <w:bCs/>
          <w:u w:val="single"/>
        </w:rPr>
      </w:pPr>
    </w:p>
    <w:p w:rsidR="005E15FF" w:rsidRDefault="005E15FF" w:rsidP="00DA5139">
      <w:pPr>
        <w:numPr>
          <w:ilvl w:val="12"/>
          <w:numId w:val="0"/>
        </w:numPr>
        <w:jc w:val="center"/>
        <w:rPr>
          <w:rFonts w:ascii="Arial" w:hAnsi="Arial" w:cs="Arial"/>
          <w:b/>
          <w:bCs/>
          <w:u w:val="single"/>
        </w:rPr>
      </w:pPr>
    </w:p>
    <w:p w:rsidR="005E15FF" w:rsidRDefault="005E15FF" w:rsidP="00DA5139">
      <w:pPr>
        <w:numPr>
          <w:ilvl w:val="12"/>
          <w:numId w:val="0"/>
        </w:numPr>
        <w:jc w:val="center"/>
        <w:rPr>
          <w:rFonts w:ascii="Arial" w:hAnsi="Arial" w:cs="Arial"/>
          <w:b/>
          <w:bCs/>
          <w:u w:val="single"/>
        </w:rPr>
      </w:pPr>
      <w:r w:rsidRPr="00DA5139">
        <w:rPr>
          <w:rFonts w:ascii="Arial" w:hAnsi="Arial" w:cs="Arial"/>
          <w:b/>
          <w:bCs/>
          <w:u w:val="single"/>
        </w:rPr>
        <w:t>ELŐTERJESZTÉS</w:t>
      </w:r>
    </w:p>
    <w:p w:rsidR="005E15FF" w:rsidRPr="00DA5139" w:rsidRDefault="005E15FF" w:rsidP="00DA5139">
      <w:pPr>
        <w:numPr>
          <w:ilvl w:val="12"/>
          <w:numId w:val="0"/>
        </w:numPr>
        <w:jc w:val="center"/>
        <w:rPr>
          <w:rFonts w:ascii="Arial" w:hAnsi="Arial" w:cs="Arial"/>
          <w:b/>
          <w:bCs/>
          <w:u w:val="single"/>
        </w:rPr>
      </w:pPr>
    </w:p>
    <w:p w:rsidR="005E15FF" w:rsidRDefault="005E15FF" w:rsidP="00DA5139">
      <w:pPr>
        <w:numPr>
          <w:ilvl w:val="12"/>
          <w:numId w:val="0"/>
        </w:numPr>
        <w:jc w:val="center"/>
        <w:rPr>
          <w:rFonts w:ascii="Arial" w:hAnsi="Arial" w:cs="Arial"/>
          <w:b/>
          <w:bCs/>
        </w:rPr>
      </w:pPr>
      <w:r>
        <w:rPr>
          <w:rFonts w:ascii="Arial" w:hAnsi="Arial" w:cs="Arial"/>
          <w:b/>
          <w:bCs/>
        </w:rPr>
        <w:t>Szombathely Megyei Jogú Város Közgyűlése Oktatási és Szociális Bizottságának 2015. április 15-i ülésére</w:t>
      </w:r>
    </w:p>
    <w:p w:rsidR="005E15FF" w:rsidRDefault="005E15FF" w:rsidP="00DA5139">
      <w:pPr>
        <w:jc w:val="center"/>
        <w:rPr>
          <w:rFonts w:ascii="Arial" w:hAnsi="Arial" w:cs="Arial"/>
          <w:b/>
        </w:rPr>
      </w:pPr>
    </w:p>
    <w:p w:rsidR="005E15FF" w:rsidRPr="001071E4" w:rsidRDefault="005E15FF" w:rsidP="00187F57">
      <w:pPr>
        <w:jc w:val="center"/>
        <w:rPr>
          <w:rFonts w:ascii="Arial" w:hAnsi="Arial" w:cs="Arial"/>
          <w:b/>
        </w:rPr>
      </w:pPr>
      <w:r>
        <w:rPr>
          <w:rFonts w:ascii="Arial" w:hAnsi="Arial" w:cs="Arial"/>
          <w:b/>
        </w:rPr>
        <w:t>Tájékoztató az ápolási díjra vonatkozó jelenleg hatályos jogszabályi rendelkezésekről</w:t>
      </w:r>
    </w:p>
    <w:p w:rsidR="005E15FF" w:rsidRDefault="005E15FF" w:rsidP="009C7BBD">
      <w:pPr>
        <w:jc w:val="both"/>
        <w:rPr>
          <w:rFonts w:ascii="Arial" w:hAnsi="Arial" w:cs="Arial"/>
        </w:rPr>
      </w:pPr>
    </w:p>
    <w:p w:rsidR="005E15FF" w:rsidRPr="007D143F" w:rsidRDefault="005E15FF" w:rsidP="00D34EA4">
      <w:pPr>
        <w:shd w:val="clear" w:color="auto" w:fill="EDF5FB"/>
        <w:jc w:val="both"/>
        <w:rPr>
          <w:rFonts w:ascii="Arial" w:hAnsi="Arial" w:cs="Arial"/>
        </w:rPr>
      </w:pPr>
      <w:r w:rsidRPr="007D143F">
        <w:rPr>
          <w:rFonts w:ascii="Arial" w:hAnsi="Arial" w:cs="Arial"/>
        </w:rPr>
        <w:t xml:space="preserve">Szombathely Megyei Jogú Város Közgyűlése Oktatási és Szociális Bizottsága a 70/2015. (II.25.) számú határozatában felkérte az Egészségügyi és Közszolgálati Osztályt, hogy adjon tájékoztatást a jelenleg hatályos ápolási díjra vonatkozó jogszabályi rendelkezésekről. </w:t>
      </w:r>
    </w:p>
    <w:p w:rsidR="005E15FF" w:rsidRPr="007D143F" w:rsidRDefault="005E15FF" w:rsidP="00D34EA4">
      <w:pPr>
        <w:shd w:val="clear" w:color="auto" w:fill="EDF5FB"/>
        <w:jc w:val="both"/>
        <w:rPr>
          <w:rFonts w:ascii="Arial" w:hAnsi="Arial" w:cs="Arial"/>
        </w:rPr>
      </w:pPr>
    </w:p>
    <w:p w:rsidR="005E15FF" w:rsidRPr="007D143F" w:rsidRDefault="005E15FF" w:rsidP="00D34EA4">
      <w:pPr>
        <w:shd w:val="clear" w:color="auto" w:fill="EDF5FB"/>
        <w:jc w:val="both"/>
        <w:rPr>
          <w:rFonts w:ascii="Arial" w:hAnsi="Arial" w:cs="Arial"/>
          <w:u w:val="single"/>
        </w:rPr>
      </w:pPr>
      <w:r w:rsidRPr="007D143F">
        <w:rPr>
          <w:rFonts w:ascii="Arial" w:hAnsi="Arial" w:cs="Arial"/>
          <w:u w:val="single"/>
        </w:rPr>
        <w:t>Fentiekre tekintettel az Osztály az alábbiakról tájékoztatja a Bizottságot:</w:t>
      </w:r>
    </w:p>
    <w:p w:rsidR="005E15FF" w:rsidRPr="007D143F" w:rsidRDefault="005E15FF" w:rsidP="00D34EA4">
      <w:pPr>
        <w:shd w:val="clear" w:color="auto" w:fill="EDF5FB"/>
        <w:jc w:val="both"/>
        <w:rPr>
          <w:rFonts w:ascii="Arial" w:hAnsi="Arial" w:cs="Arial"/>
        </w:rPr>
      </w:pPr>
    </w:p>
    <w:p w:rsidR="005E15FF" w:rsidRPr="00D34EA4" w:rsidRDefault="005E15FF" w:rsidP="00D34EA4">
      <w:pPr>
        <w:shd w:val="clear" w:color="auto" w:fill="EDF5FB"/>
        <w:jc w:val="both"/>
        <w:rPr>
          <w:rFonts w:ascii="Arial" w:hAnsi="Arial" w:cs="Arial"/>
        </w:rPr>
      </w:pPr>
      <w:r>
        <w:rPr>
          <w:rFonts w:ascii="Arial" w:hAnsi="Arial" w:cs="Arial"/>
        </w:rPr>
        <w:t xml:space="preserve">I. </w:t>
      </w:r>
      <w:r w:rsidRPr="007D143F">
        <w:rPr>
          <w:rFonts w:ascii="Arial" w:hAnsi="Arial" w:cs="Arial"/>
        </w:rPr>
        <w:t>A szociális igazgatásról és szociális ellátásokról szóló 1993. évi III. törvény (továbbiakban: Szt.) 40-44. §-aiban szabályozza az ápolási díjra való jogosultság feltételeit. A törvényi  rendelkezés értelmében a járási hivatal a Ptk. 8:1. § (1) bekezdés 2. pont szerinti hozzátartozó (a házastárs, az egyeneságbeli rokon, az örökbefogadott, a mostoha- és a nevelt gyermek, az örökbefogadó-, a mostoha- és a nevelőszülő és a testvér; az élettárs, az egyeneságbeli rokon házastársa, a házastárs egyeneságbeli rokona és testvére, és a testvér házastársa) részére, amennyiben állandó és tartós gondozásra szoruló súlyosan fogyatékos (mozgássérült, látás-, hallás- vagy értelmi fogyatékos), illetve tartósan beteg (előreláthatóan három hónapnál hosszabb időtartamban gondozást igénylő) 18 év alatti személy gondozását, ápolását végzi ápolási díjat állapít meg.</w:t>
      </w:r>
    </w:p>
    <w:p w:rsidR="005E15FF" w:rsidRDefault="005E15FF" w:rsidP="00D34EA4">
      <w:pPr>
        <w:spacing w:after="20"/>
        <w:jc w:val="both"/>
        <w:rPr>
          <w:rFonts w:ascii="Arial" w:hAnsi="Arial" w:cs="Arial"/>
        </w:rPr>
      </w:pPr>
      <w:r>
        <w:rPr>
          <w:rFonts w:ascii="Arial" w:hAnsi="Arial" w:cs="Arial"/>
        </w:rPr>
        <w:t xml:space="preserve">Fenti támogatáson kívül, a </w:t>
      </w:r>
      <w:r w:rsidRPr="00D34EA4">
        <w:rPr>
          <w:rFonts w:ascii="Arial" w:hAnsi="Arial" w:cs="Arial"/>
        </w:rPr>
        <w:t>járási hivatal</w:t>
      </w:r>
      <w:r>
        <w:rPr>
          <w:rFonts w:ascii="Arial" w:hAnsi="Arial" w:cs="Arial"/>
        </w:rPr>
        <w:t xml:space="preserve"> a</w:t>
      </w:r>
      <w:r w:rsidRPr="00D34EA4">
        <w:rPr>
          <w:rFonts w:ascii="Arial" w:hAnsi="Arial" w:cs="Arial"/>
        </w:rPr>
        <w:t xml:space="preserve"> </w:t>
      </w:r>
      <w:r>
        <w:rPr>
          <w:rFonts w:ascii="Arial" w:hAnsi="Arial" w:cs="Arial"/>
        </w:rPr>
        <w:t xml:space="preserve">törvényben meghatározott </w:t>
      </w:r>
      <w:r w:rsidRPr="00D34EA4">
        <w:rPr>
          <w:rFonts w:ascii="Arial" w:hAnsi="Arial" w:cs="Arial"/>
        </w:rPr>
        <w:t>feltételek fennállása esetén</w:t>
      </w:r>
      <w:r>
        <w:rPr>
          <w:rFonts w:ascii="Arial" w:hAnsi="Arial" w:cs="Arial"/>
        </w:rPr>
        <w:t xml:space="preserve"> </w:t>
      </w:r>
      <w:r w:rsidRPr="00B1238C">
        <w:rPr>
          <w:rFonts w:ascii="Arial" w:hAnsi="Arial" w:cs="Arial"/>
        </w:rPr>
        <w:t>kiemelt ápolási díj</w:t>
      </w:r>
      <w:r w:rsidRPr="000B5A86">
        <w:rPr>
          <w:rFonts w:ascii="Arial" w:hAnsi="Arial" w:cs="Arial"/>
        </w:rPr>
        <w:t>ra</w:t>
      </w:r>
      <w:r>
        <w:rPr>
          <w:rFonts w:ascii="Arial" w:hAnsi="Arial" w:cs="Arial"/>
        </w:rPr>
        <w:t>-, illetve</w:t>
      </w:r>
      <w:r w:rsidRPr="00D34EA4">
        <w:rPr>
          <w:rFonts w:ascii="Arial" w:hAnsi="Arial" w:cs="Arial"/>
        </w:rPr>
        <w:t xml:space="preserve"> </w:t>
      </w:r>
      <w:r w:rsidRPr="00B1238C">
        <w:rPr>
          <w:rFonts w:ascii="Arial" w:hAnsi="Arial" w:cs="Arial"/>
        </w:rPr>
        <w:t>emelt összegű ápolási díj</w:t>
      </w:r>
      <w:r w:rsidRPr="000B5A86">
        <w:rPr>
          <w:rFonts w:ascii="Arial" w:hAnsi="Arial" w:cs="Arial"/>
        </w:rPr>
        <w:t>ra</w:t>
      </w:r>
      <w:r>
        <w:rPr>
          <w:rFonts w:ascii="Arial" w:hAnsi="Arial" w:cs="Arial"/>
        </w:rPr>
        <w:t xml:space="preserve"> való jogosultságot is megállapíthat. </w:t>
      </w:r>
    </w:p>
    <w:p w:rsidR="005E15FF" w:rsidRDefault="005E15FF" w:rsidP="00D34EA4">
      <w:pPr>
        <w:spacing w:after="20"/>
        <w:jc w:val="both"/>
        <w:rPr>
          <w:rFonts w:ascii="Arial" w:hAnsi="Arial" w:cs="Arial"/>
        </w:rPr>
      </w:pPr>
    </w:p>
    <w:p w:rsidR="005E15FF" w:rsidRDefault="005E15FF" w:rsidP="00752569">
      <w:pPr>
        <w:spacing w:after="20"/>
        <w:jc w:val="both"/>
        <w:rPr>
          <w:rFonts w:ascii="Arial" w:hAnsi="Arial" w:cs="Arial"/>
        </w:rPr>
      </w:pPr>
      <w:r>
        <w:rPr>
          <w:rFonts w:ascii="Arial" w:hAnsi="Arial" w:cs="Arial"/>
        </w:rPr>
        <w:t xml:space="preserve">II. </w:t>
      </w:r>
      <w:r w:rsidRPr="00D34EA4">
        <w:rPr>
          <w:rFonts w:ascii="Arial" w:hAnsi="Arial" w:cs="Arial"/>
        </w:rPr>
        <w:t>A 2015. február 28. napján hatályos Szt. 43/B. §-a rendelkezett arról, hogy a települési önkormányzat képviselő-testülete – az önkormányzati rendeletben meghatározott feltételek szerinti - méltányos ápolási díjat állapíthat</w:t>
      </w:r>
      <w:r>
        <w:rPr>
          <w:rFonts w:ascii="Arial" w:hAnsi="Arial" w:cs="Arial"/>
        </w:rPr>
        <w:t>ott</w:t>
      </w:r>
      <w:r w:rsidRPr="00D34EA4">
        <w:rPr>
          <w:rFonts w:ascii="Arial" w:hAnsi="Arial" w:cs="Arial"/>
        </w:rPr>
        <w:t xml:space="preserve"> meg.</w:t>
      </w:r>
      <w:r>
        <w:rPr>
          <w:rFonts w:ascii="Arial" w:hAnsi="Arial" w:cs="Arial"/>
        </w:rPr>
        <w:t xml:space="preserve"> Az akkor </w:t>
      </w:r>
      <w:r w:rsidRPr="00D34EA4">
        <w:rPr>
          <w:rFonts w:ascii="Arial" w:hAnsi="Arial" w:cs="Arial"/>
        </w:rPr>
        <w:t xml:space="preserve">hatályos szociális igazgatásról, a gyermekek védelméről és az egyes szociális ellátási formák szabályairól szóló 13/1993. (IV.29.) önkormányzati rendelet tartalmazta a méltányos ápolási díjra vonatkozó rendelkezéseket, melynek a </w:t>
      </w:r>
      <w:r w:rsidRPr="00D34EA4">
        <w:rPr>
          <w:rFonts w:ascii="Arial" w:hAnsi="Arial" w:cs="Arial"/>
          <w:bCs/>
        </w:rPr>
        <w:t xml:space="preserve">6/2011. (III.02.) rendelettel történő módosítását követően </w:t>
      </w:r>
      <w:r w:rsidRPr="00D34EA4">
        <w:rPr>
          <w:rFonts w:ascii="Arial" w:hAnsi="Arial" w:cs="Arial"/>
        </w:rPr>
        <w:t>2011. március 1</w:t>
      </w:r>
      <w:r>
        <w:rPr>
          <w:rFonts w:ascii="Arial" w:hAnsi="Arial" w:cs="Arial"/>
        </w:rPr>
        <w:t>. napjától á</w:t>
      </w:r>
      <w:r w:rsidRPr="00D34EA4">
        <w:rPr>
          <w:rFonts w:ascii="Arial" w:hAnsi="Arial" w:cs="Arial"/>
        </w:rPr>
        <w:t xml:space="preserve">polási díj nem állapítható meg. </w:t>
      </w:r>
    </w:p>
    <w:p w:rsidR="005E15FF" w:rsidRDefault="005E15FF" w:rsidP="00752569">
      <w:pPr>
        <w:spacing w:after="20"/>
        <w:jc w:val="both"/>
        <w:rPr>
          <w:rFonts w:ascii="Arial" w:hAnsi="Arial" w:cs="Arial"/>
        </w:rPr>
      </w:pPr>
      <w:r w:rsidRPr="00D34EA4">
        <w:rPr>
          <w:rFonts w:ascii="Arial" w:hAnsi="Arial" w:cs="Arial"/>
        </w:rPr>
        <w:t>A módosítás szabályozta az</w:t>
      </w:r>
      <w:r>
        <w:rPr>
          <w:rFonts w:ascii="Arial" w:hAnsi="Arial" w:cs="Arial"/>
        </w:rPr>
        <w:t>t</w:t>
      </w:r>
      <w:r w:rsidRPr="00D34EA4">
        <w:rPr>
          <w:rFonts w:ascii="Arial" w:hAnsi="Arial" w:cs="Arial"/>
        </w:rPr>
        <w:t xml:space="preserve"> is, hogy</w:t>
      </w:r>
      <w:r>
        <w:rPr>
          <w:rFonts w:ascii="Arial" w:hAnsi="Arial" w:cs="Arial"/>
        </w:rPr>
        <w:t xml:space="preserve"> akkor</w:t>
      </w:r>
      <w:r w:rsidRPr="00D34EA4">
        <w:rPr>
          <w:rFonts w:ascii="Arial" w:hAnsi="Arial" w:cs="Arial"/>
        </w:rPr>
        <w:t xml:space="preserve"> </w:t>
      </w:r>
      <w:r>
        <w:rPr>
          <w:rFonts w:ascii="Arial" w:hAnsi="Arial" w:cs="Arial"/>
        </w:rPr>
        <w:t xml:space="preserve">volt </w:t>
      </w:r>
      <w:r w:rsidRPr="00D34EA4">
        <w:rPr>
          <w:rFonts w:ascii="Arial" w:hAnsi="Arial" w:cs="Arial"/>
        </w:rPr>
        <w:t>jogosult ápolási díjra a hozzátartozó, ha az ápolásra szoruló ellátása a Pálos Károly Szociális Szolgáltató Központ és Gyermekjóléti Szolgálat által biztosított házi segítségnyújtás keretében</w:t>
      </w:r>
      <w:r>
        <w:rPr>
          <w:rFonts w:ascii="Arial" w:hAnsi="Arial" w:cs="Arial"/>
        </w:rPr>
        <w:t xml:space="preserve"> nem</w:t>
      </w:r>
      <w:r w:rsidRPr="00D34EA4">
        <w:rPr>
          <w:rFonts w:ascii="Arial" w:hAnsi="Arial" w:cs="Arial"/>
        </w:rPr>
        <w:t xml:space="preserve"> megoldható, </w:t>
      </w:r>
    </w:p>
    <w:p w:rsidR="005E15FF" w:rsidRPr="00D34EA4" w:rsidRDefault="005E15FF" w:rsidP="00752569">
      <w:pPr>
        <w:spacing w:after="20"/>
        <w:jc w:val="both"/>
        <w:rPr>
          <w:rFonts w:ascii="Arial" w:hAnsi="Arial" w:cs="Arial"/>
        </w:rPr>
      </w:pPr>
      <w:r w:rsidRPr="00D34EA4">
        <w:rPr>
          <w:rFonts w:ascii="Arial" w:hAnsi="Arial" w:cs="Arial"/>
        </w:rPr>
        <w:t>vagy az ápolási díjat igénylő közeli hozzátartozón kívül</w:t>
      </w:r>
      <w:r>
        <w:rPr>
          <w:rFonts w:ascii="Arial" w:hAnsi="Arial" w:cs="Arial"/>
        </w:rPr>
        <w:t>,</w:t>
      </w:r>
      <w:r w:rsidRPr="00D34EA4">
        <w:rPr>
          <w:rFonts w:ascii="Arial" w:hAnsi="Arial" w:cs="Arial"/>
        </w:rPr>
        <w:t xml:space="preserve"> az ápolttal közös háztartásban rendszeres pénzellátásban részesülő, az ápolási, gondozási feladatok elvégzésére képes hozzátartozó lakik.</w:t>
      </w:r>
    </w:p>
    <w:p w:rsidR="005E15FF" w:rsidRPr="00D34EA4" w:rsidRDefault="005E15FF" w:rsidP="00D34EA4">
      <w:pPr>
        <w:pStyle w:val="Title"/>
        <w:jc w:val="both"/>
        <w:rPr>
          <w:rFonts w:ascii="Arial" w:hAnsi="Arial" w:cs="Arial"/>
          <w:b w:val="0"/>
        </w:rPr>
      </w:pPr>
    </w:p>
    <w:p w:rsidR="005E15FF" w:rsidRDefault="005E15FF" w:rsidP="00D34EA4">
      <w:pPr>
        <w:pStyle w:val="Title"/>
        <w:jc w:val="both"/>
        <w:rPr>
          <w:rFonts w:ascii="Arial" w:hAnsi="Arial" w:cs="Arial"/>
          <w:b w:val="0"/>
          <w:u w:val="none"/>
        </w:rPr>
      </w:pPr>
      <w:r>
        <w:rPr>
          <w:rFonts w:ascii="Arial" w:hAnsi="Arial" w:cs="Arial"/>
          <w:b w:val="0"/>
          <w:u w:val="none"/>
        </w:rPr>
        <w:t xml:space="preserve">III. </w:t>
      </w:r>
      <w:r w:rsidRPr="00D34EA4">
        <w:rPr>
          <w:rFonts w:ascii="Arial" w:hAnsi="Arial" w:cs="Arial"/>
          <w:b w:val="0"/>
          <w:u w:val="none"/>
        </w:rPr>
        <w:t xml:space="preserve">A méltányos ápolási díjban részesülők száma 2011. </w:t>
      </w:r>
      <w:r>
        <w:rPr>
          <w:rFonts w:ascii="Arial" w:hAnsi="Arial" w:cs="Arial"/>
          <w:b w:val="0"/>
          <w:u w:val="none"/>
        </w:rPr>
        <w:t>márciusában</w:t>
      </w:r>
      <w:r w:rsidRPr="00D34EA4">
        <w:rPr>
          <w:rFonts w:ascii="Arial" w:hAnsi="Arial" w:cs="Arial"/>
          <w:b w:val="0"/>
          <w:u w:val="none"/>
        </w:rPr>
        <w:t xml:space="preserve"> 80 fő volt, majd a fenti szabályozást követően lefolytatott felülvizsgálat után, tekintettel arra, hogy a gondozást sok esetben házi segítségnyújtás keretében sikerült megoldani, vagy az ápoltak részére fogyatékosságuk alapján alanyi ápolási díj került megállapításra, a jogosultak száma jelentősen lecsökkent (30 főre). </w:t>
      </w:r>
    </w:p>
    <w:p w:rsidR="005E15FF" w:rsidRDefault="005E15FF" w:rsidP="00D34EA4">
      <w:pPr>
        <w:pStyle w:val="Title"/>
        <w:jc w:val="both"/>
        <w:rPr>
          <w:rFonts w:ascii="Arial" w:hAnsi="Arial" w:cs="Arial"/>
          <w:b w:val="0"/>
          <w:u w:val="none"/>
        </w:rPr>
      </w:pPr>
    </w:p>
    <w:p w:rsidR="005E15FF" w:rsidRDefault="005E15FF" w:rsidP="00D34EA4">
      <w:pPr>
        <w:pStyle w:val="Title"/>
        <w:jc w:val="both"/>
        <w:rPr>
          <w:rFonts w:ascii="Arial" w:hAnsi="Arial" w:cs="Arial"/>
          <w:b w:val="0"/>
          <w:u w:val="none"/>
        </w:rPr>
      </w:pPr>
      <w:r w:rsidRPr="00D34EA4">
        <w:rPr>
          <w:rFonts w:ascii="Arial" w:hAnsi="Arial" w:cs="Arial"/>
          <w:b w:val="0"/>
          <w:u w:val="none"/>
        </w:rPr>
        <w:t>Az évek során</w:t>
      </w:r>
      <w:r>
        <w:rPr>
          <w:rFonts w:ascii="Arial" w:hAnsi="Arial" w:cs="Arial"/>
          <w:b w:val="0"/>
          <w:u w:val="none"/>
        </w:rPr>
        <w:t>,</w:t>
      </w:r>
      <w:r w:rsidRPr="00D34EA4">
        <w:rPr>
          <w:rFonts w:ascii="Arial" w:hAnsi="Arial" w:cs="Arial"/>
          <w:b w:val="0"/>
          <w:u w:val="none"/>
        </w:rPr>
        <w:t xml:space="preserve"> a már megállapított méltányos ápolási díjak fokozatosan megszűntetésre kerültek a </w:t>
      </w:r>
      <w:r>
        <w:rPr>
          <w:rFonts w:ascii="Arial" w:hAnsi="Arial" w:cs="Arial"/>
          <w:b w:val="0"/>
          <w:u w:val="none"/>
        </w:rPr>
        <w:t>jogszabályban meghatározott okok bekövetkezése</w:t>
      </w:r>
      <w:r w:rsidRPr="00D34EA4">
        <w:rPr>
          <w:rFonts w:ascii="Arial" w:hAnsi="Arial" w:cs="Arial"/>
          <w:b w:val="0"/>
          <w:u w:val="none"/>
        </w:rPr>
        <w:t xml:space="preserve"> (ápolt személy meghalt, az ápoló elhelyezkedett, alanyi ápolási díjra lett jogosult stb.) miatt, így 2015. február 28. napján már csak 7 fő részesült méltányos ápolási díjban.</w:t>
      </w:r>
    </w:p>
    <w:p w:rsidR="005E15FF" w:rsidRPr="00D34EA4" w:rsidRDefault="005E15FF" w:rsidP="00D34EA4">
      <w:pPr>
        <w:pStyle w:val="Title"/>
        <w:jc w:val="both"/>
        <w:rPr>
          <w:rFonts w:ascii="Arial" w:hAnsi="Arial" w:cs="Arial"/>
          <w:b w:val="0"/>
          <w:u w:val="none"/>
        </w:rPr>
      </w:pPr>
    </w:p>
    <w:p w:rsidR="005E15FF" w:rsidRDefault="005E15FF" w:rsidP="00D34EA4">
      <w:pPr>
        <w:pStyle w:val="Title"/>
        <w:jc w:val="both"/>
        <w:rPr>
          <w:rFonts w:ascii="Arial" w:hAnsi="Arial" w:cs="Arial"/>
          <w:b w:val="0"/>
          <w:u w:val="none"/>
        </w:rPr>
      </w:pPr>
      <w:r w:rsidRPr="00D34EA4">
        <w:rPr>
          <w:rFonts w:ascii="Arial" w:hAnsi="Arial" w:cs="Arial"/>
          <w:b w:val="0"/>
          <w:u w:val="none"/>
        </w:rPr>
        <w:t>2015. március 1. napjától megszűnt az Szt. szerinti méltányos ápolási díj, azonban Szombathely Megyei Jogú Város Önkormányzata Közgyűlésének a települési támogatás keretében nyújtott ellátások és a szociális szolgáltatások helyi szabályozásáról szóló 8/2015. (II.27.) önkormányzati rendelete továbbra is biztosít ápolási támogatást a 2015. március 1-jét megelőzően önkormányzati ápolási díjban részesülő 7 fő részére</w:t>
      </w:r>
      <w:r>
        <w:rPr>
          <w:rFonts w:ascii="Arial" w:hAnsi="Arial" w:cs="Arial"/>
          <w:b w:val="0"/>
          <w:u w:val="none"/>
        </w:rPr>
        <w:t xml:space="preserve">, </w:t>
      </w:r>
      <w:r w:rsidRPr="00D34EA4">
        <w:rPr>
          <w:rFonts w:ascii="Arial" w:hAnsi="Arial" w:cs="Arial"/>
          <w:b w:val="0"/>
          <w:u w:val="none"/>
        </w:rPr>
        <w:t xml:space="preserve">a korábban is folyósított havi nettó </w:t>
      </w:r>
      <w:smartTag w:uri="urn:schemas-microsoft-com:office:smarttags" w:element="metricconverter">
        <w:smartTagPr>
          <w:attr w:name="ProductID" w:val="21.240 Ft"/>
        </w:smartTagPr>
        <w:r w:rsidRPr="00D34EA4">
          <w:rPr>
            <w:rFonts w:ascii="Arial" w:hAnsi="Arial" w:cs="Arial"/>
            <w:b w:val="0"/>
            <w:u w:val="none"/>
          </w:rPr>
          <w:t>21.240 Ft</w:t>
        </w:r>
      </w:smartTag>
      <w:r w:rsidRPr="00D34EA4">
        <w:rPr>
          <w:rFonts w:ascii="Arial" w:hAnsi="Arial" w:cs="Arial"/>
          <w:b w:val="0"/>
          <w:u w:val="none"/>
        </w:rPr>
        <w:t xml:space="preserve"> összegben. </w:t>
      </w:r>
    </w:p>
    <w:p w:rsidR="005E15FF" w:rsidRDefault="005E15FF" w:rsidP="00D34EA4">
      <w:pPr>
        <w:pStyle w:val="Title"/>
        <w:jc w:val="both"/>
        <w:rPr>
          <w:rFonts w:ascii="Arial" w:hAnsi="Arial" w:cs="Arial"/>
          <w:b w:val="0"/>
          <w:u w:val="none"/>
        </w:rPr>
      </w:pPr>
    </w:p>
    <w:p w:rsidR="005E15FF" w:rsidRDefault="005E15FF" w:rsidP="00D34EA4">
      <w:pPr>
        <w:pStyle w:val="Title"/>
        <w:jc w:val="both"/>
        <w:rPr>
          <w:rFonts w:ascii="Arial" w:hAnsi="Arial" w:cs="Arial"/>
          <w:b w:val="0"/>
          <w:u w:val="none"/>
        </w:rPr>
      </w:pPr>
      <w:r>
        <w:rPr>
          <w:rFonts w:ascii="Arial" w:hAnsi="Arial" w:cs="Arial"/>
          <w:b w:val="0"/>
          <w:u w:val="none"/>
        </w:rPr>
        <w:t>Az ápolási díj kifizetésére fordított önkormányzati kiadások alakulását az alábbi táblázat tartalmazza:</w:t>
      </w:r>
    </w:p>
    <w:p w:rsidR="005E15FF" w:rsidRDefault="005E15FF" w:rsidP="00D34EA4">
      <w:pPr>
        <w:pStyle w:val="Title"/>
        <w:jc w:val="both"/>
        <w:rPr>
          <w:rFonts w:ascii="Arial" w:hAnsi="Arial" w:cs="Arial"/>
          <w:b w:val="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5E15FF" w:rsidTr="00467558">
        <w:tc>
          <w:tcPr>
            <w:tcW w:w="3259" w:type="dxa"/>
          </w:tcPr>
          <w:p w:rsidR="005E15FF" w:rsidRPr="00467558" w:rsidRDefault="005E15FF" w:rsidP="003A278D">
            <w:pPr>
              <w:pStyle w:val="Title"/>
              <w:rPr>
                <w:rFonts w:ascii="Arial" w:hAnsi="Arial" w:cs="Arial"/>
                <w:u w:val="none"/>
              </w:rPr>
            </w:pPr>
            <w:r w:rsidRPr="00467558">
              <w:rPr>
                <w:rFonts w:ascii="Arial" w:hAnsi="Arial" w:cs="Arial"/>
                <w:u w:val="none"/>
              </w:rPr>
              <w:t>ÉV</w:t>
            </w:r>
          </w:p>
        </w:tc>
        <w:tc>
          <w:tcPr>
            <w:tcW w:w="3259" w:type="dxa"/>
          </w:tcPr>
          <w:p w:rsidR="005E15FF" w:rsidRPr="00467558" w:rsidRDefault="005E15FF" w:rsidP="003A278D">
            <w:pPr>
              <w:pStyle w:val="Title"/>
              <w:rPr>
                <w:rFonts w:ascii="Arial" w:hAnsi="Arial" w:cs="Arial"/>
                <w:u w:val="none"/>
              </w:rPr>
            </w:pPr>
            <w:r w:rsidRPr="00467558">
              <w:rPr>
                <w:rFonts w:ascii="Arial" w:hAnsi="Arial" w:cs="Arial"/>
                <w:u w:val="none"/>
              </w:rPr>
              <w:t>ÖSSZEG</w:t>
            </w:r>
          </w:p>
        </w:tc>
        <w:tc>
          <w:tcPr>
            <w:tcW w:w="3260" w:type="dxa"/>
          </w:tcPr>
          <w:p w:rsidR="005E15FF" w:rsidRPr="00467558" w:rsidRDefault="005E15FF" w:rsidP="003A278D">
            <w:pPr>
              <w:pStyle w:val="Title"/>
              <w:rPr>
                <w:rFonts w:ascii="Arial" w:hAnsi="Arial" w:cs="Arial"/>
                <w:u w:val="none"/>
              </w:rPr>
            </w:pPr>
            <w:r w:rsidRPr="00467558">
              <w:rPr>
                <w:rFonts w:ascii="Arial" w:hAnsi="Arial" w:cs="Arial"/>
                <w:u w:val="none"/>
              </w:rPr>
              <w:t>FŐ</w:t>
            </w:r>
          </w:p>
        </w:tc>
      </w:tr>
      <w:tr w:rsidR="005E15FF" w:rsidTr="00467558">
        <w:tc>
          <w:tcPr>
            <w:tcW w:w="3259" w:type="dxa"/>
          </w:tcPr>
          <w:p w:rsidR="005E15FF" w:rsidRPr="00467558" w:rsidRDefault="005E15FF" w:rsidP="00467558">
            <w:pPr>
              <w:pStyle w:val="Title"/>
              <w:jc w:val="both"/>
              <w:rPr>
                <w:rFonts w:ascii="Arial" w:hAnsi="Arial" w:cs="Arial"/>
                <w:b w:val="0"/>
                <w:u w:val="none"/>
              </w:rPr>
            </w:pPr>
            <w:r w:rsidRPr="00467558">
              <w:rPr>
                <w:rFonts w:ascii="Arial" w:hAnsi="Arial" w:cs="Arial"/>
                <w:b w:val="0"/>
                <w:u w:val="none"/>
              </w:rPr>
              <w:t>2010</w:t>
            </w:r>
          </w:p>
        </w:tc>
        <w:tc>
          <w:tcPr>
            <w:tcW w:w="3259" w:type="dxa"/>
          </w:tcPr>
          <w:p w:rsidR="005E15FF" w:rsidRPr="00467558" w:rsidRDefault="005E15FF" w:rsidP="003A278D">
            <w:pPr>
              <w:pStyle w:val="Title"/>
              <w:rPr>
                <w:rFonts w:ascii="Arial" w:hAnsi="Arial" w:cs="Arial"/>
                <w:b w:val="0"/>
                <w:u w:val="none"/>
              </w:rPr>
            </w:pPr>
            <w:r w:rsidRPr="00467558">
              <w:rPr>
                <w:rFonts w:ascii="Arial" w:hAnsi="Arial" w:cs="Arial"/>
                <w:b w:val="0"/>
                <w:u w:val="none"/>
              </w:rPr>
              <w:t>39.391.000,-Ft</w:t>
            </w:r>
          </w:p>
        </w:tc>
        <w:tc>
          <w:tcPr>
            <w:tcW w:w="3260" w:type="dxa"/>
          </w:tcPr>
          <w:p w:rsidR="005E15FF" w:rsidRPr="00467558" w:rsidRDefault="005E15FF" w:rsidP="003A278D">
            <w:pPr>
              <w:pStyle w:val="Title"/>
              <w:rPr>
                <w:rFonts w:ascii="Arial" w:hAnsi="Arial" w:cs="Arial"/>
                <w:b w:val="0"/>
                <w:u w:val="none"/>
              </w:rPr>
            </w:pPr>
            <w:r w:rsidRPr="00467558">
              <w:rPr>
                <w:rFonts w:ascii="Arial" w:hAnsi="Arial" w:cs="Arial"/>
                <w:b w:val="0"/>
                <w:u w:val="none"/>
              </w:rPr>
              <w:t>80</w:t>
            </w:r>
          </w:p>
        </w:tc>
      </w:tr>
      <w:tr w:rsidR="005E15FF" w:rsidTr="00467558">
        <w:tc>
          <w:tcPr>
            <w:tcW w:w="3259" w:type="dxa"/>
          </w:tcPr>
          <w:p w:rsidR="005E15FF" w:rsidRPr="00467558" w:rsidRDefault="005E15FF" w:rsidP="00467558">
            <w:pPr>
              <w:pStyle w:val="Title"/>
              <w:jc w:val="both"/>
              <w:rPr>
                <w:rFonts w:ascii="Arial" w:hAnsi="Arial" w:cs="Arial"/>
                <w:b w:val="0"/>
                <w:u w:val="none"/>
              </w:rPr>
            </w:pPr>
            <w:r w:rsidRPr="00467558">
              <w:rPr>
                <w:rFonts w:ascii="Arial" w:hAnsi="Arial" w:cs="Arial"/>
                <w:b w:val="0"/>
                <w:u w:val="none"/>
              </w:rPr>
              <w:t>2011</w:t>
            </w:r>
          </w:p>
        </w:tc>
        <w:tc>
          <w:tcPr>
            <w:tcW w:w="3259" w:type="dxa"/>
          </w:tcPr>
          <w:p w:rsidR="005E15FF" w:rsidRPr="00467558" w:rsidRDefault="005E15FF" w:rsidP="003A278D">
            <w:pPr>
              <w:pStyle w:val="Title"/>
              <w:rPr>
                <w:rFonts w:ascii="Arial" w:hAnsi="Arial" w:cs="Arial"/>
                <w:b w:val="0"/>
                <w:u w:val="none"/>
              </w:rPr>
            </w:pPr>
            <w:r>
              <w:rPr>
                <w:rFonts w:ascii="Arial" w:hAnsi="Arial" w:cs="Arial"/>
                <w:b w:val="0"/>
                <w:u w:val="none"/>
              </w:rPr>
              <w:t>24.157.000,-Ft</w:t>
            </w:r>
          </w:p>
        </w:tc>
        <w:tc>
          <w:tcPr>
            <w:tcW w:w="3260" w:type="dxa"/>
          </w:tcPr>
          <w:p w:rsidR="005E15FF" w:rsidRPr="00467558" w:rsidRDefault="005E15FF" w:rsidP="009071FA">
            <w:pPr>
              <w:pStyle w:val="Title"/>
              <w:rPr>
                <w:rFonts w:ascii="Arial" w:hAnsi="Arial" w:cs="Arial"/>
                <w:b w:val="0"/>
                <w:u w:val="none"/>
              </w:rPr>
            </w:pPr>
            <w:r>
              <w:rPr>
                <w:rFonts w:ascii="Arial" w:hAnsi="Arial" w:cs="Arial"/>
                <w:b w:val="0"/>
                <w:u w:val="none"/>
              </w:rPr>
              <w:t>29</w:t>
            </w:r>
          </w:p>
        </w:tc>
      </w:tr>
      <w:tr w:rsidR="005E15FF" w:rsidTr="00467558">
        <w:tc>
          <w:tcPr>
            <w:tcW w:w="3259" w:type="dxa"/>
          </w:tcPr>
          <w:p w:rsidR="005E15FF" w:rsidRPr="00467558" w:rsidRDefault="005E15FF" w:rsidP="00467558">
            <w:pPr>
              <w:pStyle w:val="Title"/>
              <w:jc w:val="both"/>
              <w:rPr>
                <w:rFonts w:ascii="Arial" w:hAnsi="Arial" w:cs="Arial"/>
                <w:b w:val="0"/>
                <w:u w:val="none"/>
              </w:rPr>
            </w:pPr>
            <w:r w:rsidRPr="00467558">
              <w:rPr>
                <w:rFonts w:ascii="Arial" w:hAnsi="Arial" w:cs="Arial"/>
                <w:b w:val="0"/>
                <w:u w:val="none"/>
              </w:rPr>
              <w:t>2012</w:t>
            </w:r>
          </w:p>
        </w:tc>
        <w:tc>
          <w:tcPr>
            <w:tcW w:w="3259" w:type="dxa"/>
          </w:tcPr>
          <w:p w:rsidR="005E15FF" w:rsidRPr="00467558" w:rsidRDefault="005E15FF" w:rsidP="003A278D">
            <w:pPr>
              <w:pStyle w:val="Title"/>
              <w:rPr>
                <w:rFonts w:ascii="Arial" w:hAnsi="Arial" w:cs="Arial"/>
                <w:b w:val="0"/>
                <w:u w:val="none"/>
              </w:rPr>
            </w:pPr>
            <w:r w:rsidRPr="00467558">
              <w:rPr>
                <w:rFonts w:ascii="Arial" w:hAnsi="Arial" w:cs="Arial"/>
                <w:b w:val="0"/>
                <w:u w:val="none"/>
              </w:rPr>
              <w:t>8.412.000,-Ft</w:t>
            </w:r>
          </w:p>
        </w:tc>
        <w:tc>
          <w:tcPr>
            <w:tcW w:w="3260" w:type="dxa"/>
          </w:tcPr>
          <w:p w:rsidR="005E15FF" w:rsidRPr="00467558" w:rsidRDefault="005E15FF" w:rsidP="003A278D">
            <w:pPr>
              <w:pStyle w:val="Title"/>
              <w:rPr>
                <w:rFonts w:ascii="Arial" w:hAnsi="Arial" w:cs="Arial"/>
                <w:b w:val="0"/>
                <w:u w:val="none"/>
              </w:rPr>
            </w:pPr>
            <w:r w:rsidRPr="00467558">
              <w:rPr>
                <w:rFonts w:ascii="Arial" w:hAnsi="Arial" w:cs="Arial"/>
                <w:b w:val="0"/>
                <w:u w:val="none"/>
              </w:rPr>
              <w:t>2</w:t>
            </w:r>
            <w:r>
              <w:rPr>
                <w:rFonts w:ascii="Arial" w:hAnsi="Arial" w:cs="Arial"/>
                <w:b w:val="0"/>
                <w:u w:val="none"/>
              </w:rPr>
              <w:t>0</w:t>
            </w:r>
          </w:p>
        </w:tc>
      </w:tr>
      <w:tr w:rsidR="005E15FF" w:rsidTr="00467558">
        <w:tc>
          <w:tcPr>
            <w:tcW w:w="3259" w:type="dxa"/>
          </w:tcPr>
          <w:p w:rsidR="005E15FF" w:rsidRPr="00467558" w:rsidRDefault="005E15FF" w:rsidP="00467558">
            <w:pPr>
              <w:pStyle w:val="Title"/>
              <w:jc w:val="both"/>
              <w:rPr>
                <w:rFonts w:ascii="Arial" w:hAnsi="Arial" w:cs="Arial"/>
                <w:b w:val="0"/>
                <w:u w:val="none"/>
              </w:rPr>
            </w:pPr>
            <w:r w:rsidRPr="00467558">
              <w:rPr>
                <w:rFonts w:ascii="Arial" w:hAnsi="Arial" w:cs="Arial"/>
                <w:b w:val="0"/>
                <w:u w:val="none"/>
              </w:rPr>
              <w:t>2013</w:t>
            </w:r>
          </w:p>
        </w:tc>
        <w:tc>
          <w:tcPr>
            <w:tcW w:w="3259" w:type="dxa"/>
          </w:tcPr>
          <w:p w:rsidR="005E15FF" w:rsidRPr="00467558" w:rsidRDefault="005E15FF" w:rsidP="009071FA">
            <w:pPr>
              <w:pStyle w:val="Title"/>
              <w:rPr>
                <w:rFonts w:ascii="Arial" w:hAnsi="Arial" w:cs="Arial"/>
                <w:b w:val="0"/>
                <w:u w:val="none"/>
              </w:rPr>
            </w:pPr>
            <w:r>
              <w:rPr>
                <w:rFonts w:ascii="Arial" w:hAnsi="Arial" w:cs="Arial"/>
                <w:b w:val="0"/>
                <w:u w:val="none"/>
              </w:rPr>
              <w:t>4.972.000,-Ft</w:t>
            </w:r>
          </w:p>
        </w:tc>
        <w:tc>
          <w:tcPr>
            <w:tcW w:w="3260" w:type="dxa"/>
          </w:tcPr>
          <w:p w:rsidR="005E15FF" w:rsidRPr="00467558" w:rsidRDefault="005E15FF" w:rsidP="009071FA">
            <w:pPr>
              <w:pStyle w:val="Title"/>
              <w:rPr>
                <w:rFonts w:ascii="Arial" w:hAnsi="Arial" w:cs="Arial"/>
                <w:b w:val="0"/>
                <w:u w:val="none"/>
              </w:rPr>
            </w:pPr>
            <w:r>
              <w:rPr>
                <w:rFonts w:ascii="Arial" w:hAnsi="Arial" w:cs="Arial"/>
                <w:b w:val="0"/>
                <w:u w:val="none"/>
              </w:rPr>
              <w:t>14</w:t>
            </w:r>
          </w:p>
        </w:tc>
      </w:tr>
      <w:tr w:rsidR="005E15FF" w:rsidTr="00467558">
        <w:tc>
          <w:tcPr>
            <w:tcW w:w="3259" w:type="dxa"/>
          </w:tcPr>
          <w:p w:rsidR="005E15FF" w:rsidRPr="00467558" w:rsidRDefault="005E15FF" w:rsidP="00467558">
            <w:pPr>
              <w:pStyle w:val="Title"/>
              <w:jc w:val="both"/>
              <w:rPr>
                <w:rFonts w:ascii="Arial" w:hAnsi="Arial" w:cs="Arial"/>
                <w:b w:val="0"/>
                <w:u w:val="none"/>
              </w:rPr>
            </w:pPr>
            <w:r w:rsidRPr="00467558">
              <w:rPr>
                <w:rFonts w:ascii="Arial" w:hAnsi="Arial" w:cs="Arial"/>
                <w:b w:val="0"/>
                <w:u w:val="none"/>
              </w:rPr>
              <w:t>2014</w:t>
            </w:r>
          </w:p>
        </w:tc>
        <w:tc>
          <w:tcPr>
            <w:tcW w:w="3259" w:type="dxa"/>
          </w:tcPr>
          <w:p w:rsidR="005E15FF" w:rsidRPr="00467558" w:rsidRDefault="005E15FF" w:rsidP="003A278D">
            <w:pPr>
              <w:pStyle w:val="Title"/>
              <w:rPr>
                <w:rFonts w:ascii="Arial" w:hAnsi="Arial" w:cs="Arial"/>
                <w:b w:val="0"/>
                <w:u w:val="none"/>
              </w:rPr>
            </w:pPr>
            <w:r w:rsidRPr="00467558">
              <w:rPr>
                <w:rFonts w:ascii="Arial" w:hAnsi="Arial" w:cs="Arial"/>
                <w:b w:val="0"/>
                <w:u w:val="none"/>
              </w:rPr>
              <w:t>4.262.160,-Ft</w:t>
            </w:r>
          </w:p>
        </w:tc>
        <w:tc>
          <w:tcPr>
            <w:tcW w:w="3260" w:type="dxa"/>
          </w:tcPr>
          <w:p w:rsidR="005E15FF" w:rsidRPr="00467558" w:rsidRDefault="005E15FF" w:rsidP="003A278D">
            <w:pPr>
              <w:pStyle w:val="Title"/>
              <w:rPr>
                <w:rFonts w:ascii="Arial" w:hAnsi="Arial" w:cs="Arial"/>
                <w:b w:val="0"/>
                <w:u w:val="none"/>
              </w:rPr>
            </w:pPr>
            <w:r w:rsidRPr="00467558">
              <w:rPr>
                <w:rFonts w:ascii="Arial" w:hAnsi="Arial" w:cs="Arial"/>
                <w:b w:val="0"/>
                <w:u w:val="none"/>
              </w:rPr>
              <w:t>14</w:t>
            </w:r>
          </w:p>
        </w:tc>
      </w:tr>
      <w:tr w:rsidR="005E15FF" w:rsidTr="00467558">
        <w:tc>
          <w:tcPr>
            <w:tcW w:w="3259" w:type="dxa"/>
          </w:tcPr>
          <w:p w:rsidR="005E15FF" w:rsidRPr="00467558" w:rsidRDefault="005E15FF" w:rsidP="00467558">
            <w:pPr>
              <w:pStyle w:val="Title"/>
              <w:jc w:val="both"/>
              <w:rPr>
                <w:rFonts w:ascii="Arial" w:hAnsi="Arial" w:cs="Arial"/>
                <w:b w:val="0"/>
                <w:u w:val="none"/>
              </w:rPr>
            </w:pPr>
            <w:r w:rsidRPr="00467558">
              <w:rPr>
                <w:rFonts w:ascii="Arial" w:hAnsi="Arial" w:cs="Arial"/>
                <w:b w:val="0"/>
                <w:u w:val="none"/>
              </w:rPr>
              <w:t>2015</w:t>
            </w:r>
          </w:p>
        </w:tc>
        <w:tc>
          <w:tcPr>
            <w:tcW w:w="3259" w:type="dxa"/>
          </w:tcPr>
          <w:p w:rsidR="005E15FF" w:rsidRPr="00467558" w:rsidRDefault="005E15FF" w:rsidP="003A278D">
            <w:pPr>
              <w:pStyle w:val="Title"/>
              <w:rPr>
                <w:rFonts w:ascii="Arial" w:hAnsi="Arial" w:cs="Arial"/>
                <w:b w:val="0"/>
                <w:u w:val="none"/>
              </w:rPr>
            </w:pPr>
            <w:r w:rsidRPr="00467558">
              <w:rPr>
                <w:rFonts w:ascii="Arial" w:hAnsi="Arial" w:cs="Arial"/>
                <w:b w:val="0"/>
                <w:u w:val="none"/>
              </w:rPr>
              <w:t>1.982.400,-Ft</w:t>
            </w:r>
          </w:p>
        </w:tc>
        <w:tc>
          <w:tcPr>
            <w:tcW w:w="3260" w:type="dxa"/>
          </w:tcPr>
          <w:p w:rsidR="005E15FF" w:rsidRPr="00467558" w:rsidRDefault="005E15FF" w:rsidP="003A278D">
            <w:pPr>
              <w:pStyle w:val="Title"/>
              <w:rPr>
                <w:rFonts w:ascii="Arial" w:hAnsi="Arial" w:cs="Arial"/>
                <w:b w:val="0"/>
                <w:u w:val="none"/>
              </w:rPr>
            </w:pPr>
            <w:r w:rsidRPr="00467558">
              <w:rPr>
                <w:rFonts w:ascii="Arial" w:hAnsi="Arial" w:cs="Arial"/>
                <w:b w:val="0"/>
                <w:u w:val="none"/>
              </w:rPr>
              <w:t>7</w:t>
            </w:r>
          </w:p>
        </w:tc>
      </w:tr>
    </w:tbl>
    <w:p w:rsidR="005E15FF" w:rsidRDefault="005E15FF" w:rsidP="00D34EA4">
      <w:pPr>
        <w:pStyle w:val="Title"/>
        <w:jc w:val="both"/>
        <w:rPr>
          <w:rFonts w:ascii="Arial" w:hAnsi="Arial" w:cs="Arial"/>
          <w:b w:val="0"/>
          <w:u w:val="none"/>
        </w:rPr>
      </w:pPr>
    </w:p>
    <w:p w:rsidR="005E15FF" w:rsidRDefault="005E15FF" w:rsidP="00D34EA4">
      <w:pPr>
        <w:pStyle w:val="Title"/>
        <w:jc w:val="both"/>
        <w:rPr>
          <w:rFonts w:ascii="Arial" w:hAnsi="Arial" w:cs="Arial"/>
          <w:b w:val="0"/>
          <w:u w:val="none"/>
        </w:rPr>
      </w:pPr>
    </w:p>
    <w:p w:rsidR="005E15FF" w:rsidRDefault="005E15FF" w:rsidP="00D34EA4">
      <w:pPr>
        <w:pStyle w:val="Title"/>
        <w:jc w:val="both"/>
        <w:rPr>
          <w:rFonts w:ascii="Arial" w:hAnsi="Arial" w:cs="Arial"/>
          <w:b w:val="0"/>
          <w:u w:val="none"/>
        </w:rPr>
      </w:pPr>
      <w:r>
        <w:rPr>
          <w:rFonts w:ascii="Arial" w:hAnsi="Arial" w:cs="Arial"/>
          <w:b w:val="0"/>
          <w:u w:val="none"/>
        </w:rPr>
        <w:t xml:space="preserve">IV. </w:t>
      </w:r>
      <w:r w:rsidRPr="00D34EA4">
        <w:rPr>
          <w:rFonts w:ascii="Arial" w:hAnsi="Arial" w:cs="Arial"/>
          <w:b w:val="0"/>
          <w:u w:val="none"/>
        </w:rPr>
        <w:t>A korábban méltányos ápolási díjban részesülő személyek esetében megállapítható, hogy az ellátást főleg a jövedelemmel nem rendelkező munkanélküli személyek igényelték, hisz az ápolási díj egészségügyi ellátás igénybevételére jogosított, illetve szolgálati időnek is minősült. Kevés számban voltak csak azok az igénylők, akik munkahelyükön fizetetlen szabadságot vettek ki, vagy felmondtak az ápolási feladatok ellátása érdekében.</w:t>
      </w:r>
    </w:p>
    <w:p w:rsidR="005E15FF" w:rsidRDefault="005E15FF" w:rsidP="00D34EA4">
      <w:pPr>
        <w:pStyle w:val="Title"/>
        <w:jc w:val="both"/>
        <w:rPr>
          <w:rFonts w:ascii="Arial" w:hAnsi="Arial" w:cs="Arial"/>
          <w:b w:val="0"/>
          <w:u w:val="none"/>
        </w:rPr>
      </w:pPr>
    </w:p>
    <w:p w:rsidR="005E15FF" w:rsidRPr="00D34EA4" w:rsidRDefault="005E15FF" w:rsidP="00D34EA4">
      <w:pPr>
        <w:pStyle w:val="Title"/>
        <w:jc w:val="both"/>
        <w:rPr>
          <w:rFonts w:ascii="Arial" w:hAnsi="Arial" w:cs="Arial"/>
          <w:b w:val="0"/>
          <w:u w:val="none"/>
        </w:rPr>
      </w:pPr>
      <w:r w:rsidRPr="00D34EA4">
        <w:rPr>
          <w:rFonts w:ascii="Arial" w:hAnsi="Arial" w:cs="Arial"/>
          <w:b w:val="0"/>
          <w:u w:val="none"/>
        </w:rPr>
        <w:t xml:space="preserve">2012. december 31. napjáig az alanyi ápolási díjak megállapítása jegyzői hatáskör volt, </w:t>
      </w:r>
      <w:r>
        <w:rPr>
          <w:rFonts w:ascii="Arial" w:hAnsi="Arial" w:cs="Arial"/>
          <w:b w:val="0"/>
          <w:u w:val="none"/>
        </w:rPr>
        <w:t xml:space="preserve">ez azonban </w:t>
      </w:r>
      <w:r w:rsidRPr="00D34EA4">
        <w:rPr>
          <w:rFonts w:ascii="Arial" w:hAnsi="Arial" w:cs="Arial"/>
          <w:b w:val="0"/>
          <w:u w:val="none"/>
        </w:rPr>
        <w:t xml:space="preserve">2013. január 1. napján </w:t>
      </w:r>
      <w:r>
        <w:rPr>
          <w:rFonts w:ascii="Arial" w:hAnsi="Arial" w:cs="Arial"/>
          <w:b w:val="0"/>
          <w:u w:val="none"/>
        </w:rPr>
        <w:t>átkerült</w:t>
      </w:r>
      <w:r w:rsidRPr="00D34EA4">
        <w:rPr>
          <w:rFonts w:ascii="Arial" w:hAnsi="Arial" w:cs="Arial"/>
          <w:b w:val="0"/>
          <w:u w:val="none"/>
        </w:rPr>
        <w:t xml:space="preserve"> a járási hivatalokhoz. Ekkor</w:t>
      </w:r>
      <w:r>
        <w:rPr>
          <w:rFonts w:ascii="Arial" w:hAnsi="Arial" w:cs="Arial"/>
          <w:b w:val="0"/>
          <w:u w:val="none"/>
        </w:rPr>
        <w:t xml:space="preserve"> 201 </w:t>
      </w:r>
      <w:r w:rsidRPr="00D34EA4">
        <w:rPr>
          <w:rFonts w:ascii="Arial" w:hAnsi="Arial" w:cs="Arial"/>
          <w:b w:val="0"/>
          <w:u w:val="none"/>
        </w:rPr>
        <w:t>fő szombathelyi lakos részesült alanyi ápolási díjban, míg jelenleg a Vas Megyei Kormányhivatal Szombathelyi Járási Hivatala összesen 264 fő szombathelyi lakos részére folyósít valamilyen jogcímen ápolási díjat. Megállapítható tehát, hogy nőtt az ápolási díjat igénylők, s az arra jogosultak száma is</w:t>
      </w:r>
      <w:r>
        <w:rPr>
          <w:rFonts w:ascii="Arial" w:hAnsi="Arial" w:cs="Arial"/>
          <w:b w:val="0"/>
          <w:u w:val="none"/>
        </w:rPr>
        <w:t>.</w:t>
      </w:r>
    </w:p>
    <w:p w:rsidR="005E15FF" w:rsidRPr="00D34EA4" w:rsidRDefault="005E15FF" w:rsidP="00D34EA4">
      <w:pPr>
        <w:pStyle w:val="Title"/>
        <w:jc w:val="both"/>
        <w:rPr>
          <w:rFonts w:ascii="Arial" w:hAnsi="Arial" w:cs="Arial"/>
          <w:b w:val="0"/>
          <w:u w:val="none"/>
        </w:rPr>
      </w:pPr>
    </w:p>
    <w:p w:rsidR="005E15FF" w:rsidRDefault="005E15FF" w:rsidP="00A326B9">
      <w:pPr>
        <w:jc w:val="both"/>
        <w:rPr>
          <w:rFonts w:ascii="Arial" w:hAnsi="Arial" w:cs="Arial"/>
        </w:rPr>
      </w:pPr>
      <w:r>
        <w:rPr>
          <w:rFonts w:ascii="Arial" w:hAnsi="Arial" w:cs="Arial"/>
        </w:rPr>
        <w:t xml:space="preserve">V. </w:t>
      </w:r>
      <w:r w:rsidRPr="00A326B9">
        <w:rPr>
          <w:rFonts w:ascii="Arial" w:hAnsi="Arial" w:cs="Arial"/>
        </w:rPr>
        <w:t>A megyei jogú városok települési támogatásokról szóló önkormányzati rendeleteit áttekintve, 2015. március 1. napjától ápolási feladatok ellátásával kapcsolatos rendszeres települési támogatást biztosító városok körét</w:t>
      </w:r>
      <w:r>
        <w:rPr>
          <w:rFonts w:ascii="Arial" w:hAnsi="Arial" w:cs="Arial"/>
          <w:b/>
        </w:rPr>
        <w:t xml:space="preserve"> </w:t>
      </w:r>
      <w:r w:rsidRPr="002E0DF5">
        <w:rPr>
          <w:rFonts w:ascii="Arial" w:hAnsi="Arial" w:cs="Arial"/>
        </w:rPr>
        <w:t>az alábbi táblázat szemlélteti:</w:t>
      </w:r>
    </w:p>
    <w:p w:rsidR="005E15FF" w:rsidRPr="002E0DF5" w:rsidRDefault="005E15FF" w:rsidP="00A326B9">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4"/>
        <w:gridCol w:w="1585"/>
        <w:gridCol w:w="3021"/>
        <w:gridCol w:w="2303"/>
      </w:tblGrid>
      <w:tr w:rsidR="005E15FF" w:rsidRPr="00D34EA4" w:rsidTr="001F3146">
        <w:tc>
          <w:tcPr>
            <w:tcW w:w="9313" w:type="dxa"/>
            <w:gridSpan w:val="4"/>
          </w:tcPr>
          <w:p w:rsidR="005E15FF" w:rsidRPr="00F37112" w:rsidRDefault="005E15FF" w:rsidP="00F37112">
            <w:pPr>
              <w:jc w:val="center"/>
              <w:rPr>
                <w:rFonts w:ascii="Arial" w:hAnsi="Arial" w:cs="Arial"/>
                <w:color w:val="000000"/>
              </w:rPr>
            </w:pPr>
            <w:r w:rsidRPr="00F37112">
              <w:rPr>
                <w:rFonts w:ascii="Arial" w:hAnsi="Arial" w:cs="Arial"/>
                <w:b/>
              </w:rPr>
              <w:t xml:space="preserve">Megyei </w:t>
            </w:r>
            <w:r>
              <w:rPr>
                <w:rFonts w:ascii="Arial" w:hAnsi="Arial" w:cs="Arial"/>
                <w:b/>
              </w:rPr>
              <w:t>j</w:t>
            </w:r>
            <w:r w:rsidRPr="00F37112">
              <w:rPr>
                <w:rFonts w:ascii="Arial" w:hAnsi="Arial" w:cs="Arial"/>
                <w:b/>
              </w:rPr>
              <w:t xml:space="preserve">ogú </w:t>
            </w:r>
            <w:r>
              <w:rPr>
                <w:rFonts w:ascii="Arial" w:hAnsi="Arial" w:cs="Arial"/>
                <w:b/>
              </w:rPr>
              <w:t>v</w:t>
            </w:r>
            <w:r w:rsidRPr="00F37112">
              <w:rPr>
                <w:rFonts w:ascii="Arial" w:hAnsi="Arial" w:cs="Arial"/>
                <w:b/>
              </w:rPr>
              <w:t>árosok ápolási támogatása</w:t>
            </w:r>
          </w:p>
        </w:tc>
      </w:tr>
      <w:tr w:rsidR="005E15FF" w:rsidRPr="00D34EA4" w:rsidTr="001F3146">
        <w:tc>
          <w:tcPr>
            <w:tcW w:w="2404" w:type="dxa"/>
          </w:tcPr>
          <w:p w:rsidR="005E15FF" w:rsidRPr="00230E11" w:rsidRDefault="005E15FF" w:rsidP="00F37112">
            <w:pPr>
              <w:pStyle w:val="Title"/>
              <w:jc w:val="both"/>
              <w:rPr>
                <w:rFonts w:ascii="Arial" w:hAnsi="Arial" w:cs="Arial"/>
                <w:u w:val="none"/>
              </w:rPr>
            </w:pPr>
            <w:r w:rsidRPr="00230E11">
              <w:rPr>
                <w:rFonts w:ascii="Arial" w:hAnsi="Arial" w:cs="Arial"/>
                <w:u w:val="none"/>
              </w:rPr>
              <w:t>Város neve</w:t>
            </w:r>
          </w:p>
        </w:tc>
        <w:tc>
          <w:tcPr>
            <w:tcW w:w="1585" w:type="dxa"/>
            <w:vAlign w:val="bottom"/>
          </w:tcPr>
          <w:p w:rsidR="005E15FF" w:rsidRPr="00230E11" w:rsidRDefault="005E15FF" w:rsidP="00FE79DF">
            <w:pPr>
              <w:rPr>
                <w:rFonts w:ascii="Arial" w:hAnsi="Arial" w:cs="Arial"/>
                <w:b/>
                <w:color w:val="000000"/>
              </w:rPr>
            </w:pPr>
            <w:r w:rsidRPr="00230E11">
              <w:rPr>
                <w:rFonts w:ascii="Arial" w:hAnsi="Arial" w:cs="Arial"/>
                <w:b/>
                <w:color w:val="000000"/>
              </w:rPr>
              <w:t>támogatást biztosítja</w:t>
            </w:r>
            <w:r>
              <w:rPr>
                <w:rFonts w:ascii="Arial" w:hAnsi="Arial" w:cs="Arial"/>
                <w:b/>
                <w:color w:val="000000"/>
              </w:rPr>
              <w:t xml:space="preserve"> (igen/nem)</w:t>
            </w:r>
          </w:p>
        </w:tc>
        <w:tc>
          <w:tcPr>
            <w:tcW w:w="3021" w:type="dxa"/>
            <w:vAlign w:val="bottom"/>
          </w:tcPr>
          <w:p w:rsidR="005E15FF" w:rsidRPr="00230E11" w:rsidRDefault="005E15FF" w:rsidP="00FE79DF">
            <w:pPr>
              <w:rPr>
                <w:rFonts w:ascii="Arial" w:hAnsi="Arial" w:cs="Arial"/>
                <w:b/>
                <w:color w:val="000000"/>
              </w:rPr>
            </w:pPr>
            <w:r w:rsidRPr="00230E11">
              <w:rPr>
                <w:rFonts w:ascii="Arial" w:hAnsi="Arial" w:cs="Arial"/>
                <w:b/>
                <w:color w:val="000000"/>
              </w:rPr>
              <w:t>jogosultság jövedelemhatára</w:t>
            </w:r>
            <w:r>
              <w:rPr>
                <w:rFonts w:ascii="Arial" w:hAnsi="Arial" w:cs="Arial"/>
                <w:b/>
                <w:color w:val="000000"/>
              </w:rPr>
              <w:t xml:space="preserve"> Ft/fő</w:t>
            </w:r>
          </w:p>
        </w:tc>
        <w:tc>
          <w:tcPr>
            <w:tcW w:w="2303" w:type="dxa"/>
            <w:vAlign w:val="bottom"/>
          </w:tcPr>
          <w:p w:rsidR="005E15FF" w:rsidRPr="00230E11" w:rsidRDefault="005E15FF" w:rsidP="00FE79DF">
            <w:pPr>
              <w:rPr>
                <w:rFonts w:ascii="Arial" w:hAnsi="Arial" w:cs="Arial"/>
                <w:b/>
                <w:color w:val="000000"/>
              </w:rPr>
            </w:pPr>
            <w:r>
              <w:rPr>
                <w:rFonts w:ascii="Arial" w:hAnsi="Arial" w:cs="Arial"/>
                <w:b/>
                <w:color w:val="000000"/>
              </w:rPr>
              <w:t>t</w:t>
            </w:r>
            <w:r w:rsidRPr="00230E11">
              <w:rPr>
                <w:rFonts w:ascii="Arial" w:hAnsi="Arial" w:cs="Arial"/>
                <w:b/>
                <w:color w:val="000000"/>
              </w:rPr>
              <w:t>ámogatás havi összege (Ft)</w:t>
            </w: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Békéscsaba</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nem</w:t>
            </w:r>
          </w:p>
        </w:tc>
        <w:tc>
          <w:tcPr>
            <w:tcW w:w="3021" w:type="dxa"/>
            <w:vAlign w:val="bottom"/>
          </w:tcPr>
          <w:p w:rsidR="005E15FF" w:rsidRPr="00F37112" w:rsidRDefault="005E15FF" w:rsidP="00FE79DF">
            <w:pPr>
              <w:rPr>
                <w:rFonts w:ascii="Arial" w:hAnsi="Arial" w:cs="Arial"/>
                <w:color w:val="000000"/>
              </w:rPr>
            </w:pPr>
          </w:p>
        </w:tc>
        <w:tc>
          <w:tcPr>
            <w:tcW w:w="2303" w:type="dxa"/>
            <w:vAlign w:val="bottom"/>
          </w:tcPr>
          <w:p w:rsidR="005E15FF" w:rsidRPr="00F37112" w:rsidRDefault="005E15FF" w:rsidP="00FE79DF">
            <w:pPr>
              <w:rPr>
                <w:rFonts w:ascii="Arial" w:hAnsi="Arial" w:cs="Arial"/>
                <w:color w:val="000000"/>
              </w:rPr>
            </w:pP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Debrecen</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nem</w:t>
            </w:r>
          </w:p>
        </w:tc>
        <w:tc>
          <w:tcPr>
            <w:tcW w:w="3021" w:type="dxa"/>
            <w:vAlign w:val="bottom"/>
          </w:tcPr>
          <w:p w:rsidR="005E15FF" w:rsidRPr="00F37112" w:rsidRDefault="005E15FF" w:rsidP="00FE79DF">
            <w:pPr>
              <w:rPr>
                <w:rFonts w:ascii="Arial" w:hAnsi="Arial" w:cs="Arial"/>
                <w:color w:val="000000"/>
              </w:rPr>
            </w:pPr>
          </w:p>
        </w:tc>
        <w:tc>
          <w:tcPr>
            <w:tcW w:w="2303" w:type="dxa"/>
            <w:vAlign w:val="bottom"/>
          </w:tcPr>
          <w:p w:rsidR="005E15FF" w:rsidRPr="00F37112" w:rsidRDefault="005E15FF" w:rsidP="00FE79DF">
            <w:pPr>
              <w:rPr>
                <w:rFonts w:ascii="Arial" w:hAnsi="Arial" w:cs="Arial"/>
                <w:color w:val="000000"/>
              </w:rPr>
            </w:pP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Dunaújváros</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nem</w:t>
            </w:r>
          </w:p>
        </w:tc>
        <w:tc>
          <w:tcPr>
            <w:tcW w:w="3021" w:type="dxa"/>
            <w:vAlign w:val="bottom"/>
          </w:tcPr>
          <w:p w:rsidR="005E15FF" w:rsidRPr="00F37112" w:rsidRDefault="005E15FF" w:rsidP="00FE79DF">
            <w:pPr>
              <w:rPr>
                <w:rFonts w:ascii="Arial" w:hAnsi="Arial" w:cs="Arial"/>
                <w:color w:val="000000"/>
              </w:rPr>
            </w:pPr>
          </w:p>
        </w:tc>
        <w:tc>
          <w:tcPr>
            <w:tcW w:w="2303" w:type="dxa"/>
            <w:vAlign w:val="bottom"/>
          </w:tcPr>
          <w:p w:rsidR="005E15FF" w:rsidRPr="00F37112" w:rsidRDefault="005E15FF" w:rsidP="00FE79DF">
            <w:pPr>
              <w:rPr>
                <w:rFonts w:ascii="Arial" w:hAnsi="Arial" w:cs="Arial"/>
                <w:color w:val="000000"/>
              </w:rPr>
            </w:pP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Eger</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igen</w:t>
            </w:r>
          </w:p>
        </w:tc>
        <w:tc>
          <w:tcPr>
            <w:tcW w:w="3021" w:type="dxa"/>
            <w:vAlign w:val="bottom"/>
          </w:tcPr>
          <w:p w:rsidR="005E15FF" w:rsidRPr="00F37112" w:rsidRDefault="005E15FF" w:rsidP="00823B93">
            <w:pPr>
              <w:rPr>
                <w:rFonts w:ascii="Arial" w:hAnsi="Arial" w:cs="Arial"/>
                <w:color w:val="000000"/>
              </w:rPr>
            </w:pPr>
            <w:r w:rsidRPr="00F37112">
              <w:rPr>
                <w:rFonts w:ascii="Arial" w:hAnsi="Arial" w:cs="Arial"/>
                <w:color w:val="000000"/>
              </w:rPr>
              <w:t>105</w:t>
            </w:r>
            <w:r>
              <w:rPr>
                <w:rFonts w:ascii="Arial" w:hAnsi="Arial" w:cs="Arial"/>
                <w:color w:val="000000"/>
              </w:rPr>
              <w:t>.</w:t>
            </w:r>
            <w:r w:rsidRPr="00F37112">
              <w:rPr>
                <w:rFonts w:ascii="Arial" w:hAnsi="Arial" w:cs="Arial"/>
                <w:color w:val="000000"/>
              </w:rPr>
              <w:t>000,-</w:t>
            </w:r>
          </w:p>
        </w:tc>
        <w:tc>
          <w:tcPr>
            <w:tcW w:w="2303" w:type="dxa"/>
            <w:vAlign w:val="bottom"/>
          </w:tcPr>
          <w:p w:rsidR="005E15FF" w:rsidRPr="00F37112" w:rsidRDefault="005E15FF" w:rsidP="00823B93">
            <w:pPr>
              <w:rPr>
                <w:rFonts w:ascii="Arial" w:hAnsi="Arial" w:cs="Arial"/>
                <w:color w:val="000000"/>
              </w:rPr>
            </w:pPr>
            <w:r w:rsidRPr="00F37112">
              <w:rPr>
                <w:rFonts w:ascii="Arial" w:hAnsi="Arial" w:cs="Arial"/>
                <w:color w:val="000000"/>
              </w:rPr>
              <w:t xml:space="preserve">minimálbér 20 %-a </w:t>
            </w:r>
            <w:r>
              <w:rPr>
                <w:rFonts w:ascii="Arial" w:hAnsi="Arial" w:cs="Arial"/>
                <w:color w:val="000000"/>
              </w:rPr>
              <w:t>(</w:t>
            </w:r>
            <w:r w:rsidRPr="00F37112">
              <w:rPr>
                <w:rFonts w:ascii="Arial" w:hAnsi="Arial" w:cs="Arial"/>
                <w:color w:val="000000"/>
              </w:rPr>
              <w:t>21</w:t>
            </w:r>
            <w:r>
              <w:rPr>
                <w:rFonts w:ascii="Arial" w:hAnsi="Arial" w:cs="Arial"/>
                <w:color w:val="000000"/>
              </w:rPr>
              <w:t>.</w:t>
            </w:r>
            <w:r w:rsidRPr="00F37112">
              <w:rPr>
                <w:rFonts w:ascii="Arial" w:hAnsi="Arial" w:cs="Arial"/>
                <w:color w:val="000000"/>
              </w:rPr>
              <w:t>000,- Ft</w:t>
            </w:r>
            <w:r>
              <w:rPr>
                <w:rFonts w:ascii="Arial" w:hAnsi="Arial" w:cs="Arial"/>
                <w:color w:val="000000"/>
              </w:rPr>
              <w:t>)</w:t>
            </w: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Érd</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igen</w:t>
            </w:r>
          </w:p>
        </w:tc>
        <w:tc>
          <w:tcPr>
            <w:tcW w:w="3021" w:type="dxa"/>
            <w:vAlign w:val="bottom"/>
          </w:tcPr>
          <w:p w:rsidR="005E15FF" w:rsidRPr="00F37112" w:rsidRDefault="005E15FF" w:rsidP="00823B93">
            <w:pPr>
              <w:rPr>
                <w:rFonts w:ascii="Arial" w:hAnsi="Arial" w:cs="Arial"/>
                <w:color w:val="000000"/>
              </w:rPr>
            </w:pPr>
            <w:r w:rsidRPr="00F37112">
              <w:rPr>
                <w:rFonts w:ascii="Arial" w:hAnsi="Arial" w:cs="Arial"/>
                <w:color w:val="000000"/>
              </w:rPr>
              <w:t xml:space="preserve">nyugdíjminimum 200%-a </w:t>
            </w:r>
            <w:r>
              <w:rPr>
                <w:rFonts w:ascii="Arial" w:hAnsi="Arial" w:cs="Arial"/>
                <w:color w:val="000000"/>
              </w:rPr>
              <w:t>(</w:t>
            </w:r>
            <w:r w:rsidRPr="00F37112">
              <w:rPr>
                <w:rFonts w:ascii="Arial" w:hAnsi="Arial" w:cs="Arial"/>
                <w:color w:val="000000"/>
              </w:rPr>
              <w:t>57</w:t>
            </w:r>
            <w:r>
              <w:rPr>
                <w:rFonts w:ascii="Arial" w:hAnsi="Arial" w:cs="Arial"/>
                <w:color w:val="000000"/>
              </w:rPr>
              <w:t>.</w:t>
            </w:r>
            <w:r w:rsidRPr="00F37112">
              <w:rPr>
                <w:rFonts w:ascii="Arial" w:hAnsi="Arial" w:cs="Arial"/>
                <w:color w:val="000000"/>
              </w:rPr>
              <w:t>000,- Ft</w:t>
            </w:r>
            <w:r>
              <w:rPr>
                <w:rFonts w:ascii="Arial" w:hAnsi="Arial" w:cs="Arial"/>
                <w:color w:val="000000"/>
              </w:rPr>
              <w:t>)</w:t>
            </w:r>
          </w:p>
        </w:tc>
        <w:tc>
          <w:tcPr>
            <w:tcW w:w="2303" w:type="dxa"/>
            <w:vAlign w:val="bottom"/>
          </w:tcPr>
          <w:p w:rsidR="005E15FF" w:rsidRPr="00F37112" w:rsidRDefault="005E15FF" w:rsidP="00823B93">
            <w:pPr>
              <w:rPr>
                <w:rFonts w:ascii="Arial" w:hAnsi="Arial" w:cs="Arial"/>
                <w:color w:val="000000"/>
              </w:rPr>
            </w:pPr>
            <w:r w:rsidRPr="00F37112">
              <w:rPr>
                <w:rFonts w:ascii="Arial" w:hAnsi="Arial" w:cs="Arial"/>
                <w:color w:val="000000"/>
              </w:rPr>
              <w:t>25</w:t>
            </w:r>
            <w:r>
              <w:rPr>
                <w:rFonts w:ascii="Arial" w:hAnsi="Arial" w:cs="Arial"/>
                <w:color w:val="000000"/>
              </w:rPr>
              <w:t>.</w:t>
            </w:r>
            <w:r w:rsidRPr="00F37112">
              <w:rPr>
                <w:rFonts w:ascii="Arial" w:hAnsi="Arial" w:cs="Arial"/>
                <w:color w:val="000000"/>
              </w:rPr>
              <w:t xml:space="preserve"> 000,-</w:t>
            </w:r>
            <w:r>
              <w:rPr>
                <w:rFonts w:ascii="Arial" w:hAnsi="Arial" w:cs="Arial"/>
                <w:color w:val="000000"/>
              </w:rPr>
              <w:t>Ft</w:t>
            </w:r>
            <w:r w:rsidRPr="00F37112">
              <w:rPr>
                <w:rFonts w:ascii="Arial" w:hAnsi="Arial" w:cs="Arial"/>
                <w:color w:val="000000"/>
              </w:rPr>
              <w:t xml:space="preserve"> </w:t>
            </w: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Győr</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igen</w:t>
            </w:r>
          </w:p>
        </w:tc>
        <w:tc>
          <w:tcPr>
            <w:tcW w:w="3021" w:type="dxa"/>
            <w:vAlign w:val="bottom"/>
          </w:tcPr>
          <w:p w:rsidR="005E15FF" w:rsidRDefault="005E15FF" w:rsidP="00823B93">
            <w:pPr>
              <w:rPr>
                <w:rFonts w:ascii="Arial" w:hAnsi="Arial" w:cs="Arial"/>
                <w:color w:val="000000"/>
              </w:rPr>
            </w:pPr>
            <w:r>
              <w:rPr>
                <w:rFonts w:ascii="Arial" w:hAnsi="Arial" w:cs="Arial"/>
                <w:color w:val="000000"/>
              </w:rPr>
              <w:t>nyugdíjminimum 300 %</w:t>
            </w:r>
          </w:p>
          <w:p w:rsidR="005E15FF" w:rsidRPr="00F37112" w:rsidRDefault="005E15FF" w:rsidP="00823B93">
            <w:pPr>
              <w:rPr>
                <w:rFonts w:ascii="Arial" w:hAnsi="Arial" w:cs="Arial"/>
                <w:color w:val="000000"/>
              </w:rPr>
            </w:pPr>
            <w:r>
              <w:rPr>
                <w:rFonts w:ascii="Arial" w:hAnsi="Arial" w:cs="Arial"/>
                <w:color w:val="000000"/>
              </w:rPr>
              <w:t>(85.500,-Ft)</w:t>
            </w:r>
          </w:p>
        </w:tc>
        <w:tc>
          <w:tcPr>
            <w:tcW w:w="2303" w:type="dxa"/>
            <w:vAlign w:val="bottom"/>
          </w:tcPr>
          <w:p w:rsidR="005E15FF" w:rsidRDefault="005E15FF" w:rsidP="00823B93">
            <w:pPr>
              <w:rPr>
                <w:rFonts w:ascii="Arial" w:hAnsi="Arial" w:cs="Arial"/>
                <w:color w:val="000000"/>
              </w:rPr>
            </w:pPr>
            <w:r>
              <w:rPr>
                <w:rFonts w:ascii="Arial" w:hAnsi="Arial" w:cs="Arial"/>
                <w:color w:val="000000"/>
              </w:rPr>
              <w:t>alapösszeg 80 %-a</w:t>
            </w:r>
          </w:p>
          <w:p w:rsidR="005E15FF" w:rsidRPr="00F37112" w:rsidRDefault="005E15FF" w:rsidP="00823B93">
            <w:pPr>
              <w:rPr>
                <w:rFonts w:ascii="Arial" w:hAnsi="Arial" w:cs="Arial"/>
                <w:color w:val="000000"/>
              </w:rPr>
            </w:pPr>
            <w:r>
              <w:rPr>
                <w:rFonts w:ascii="Arial" w:hAnsi="Arial" w:cs="Arial"/>
                <w:color w:val="000000"/>
              </w:rPr>
              <w:t>(23.600,-Ft)</w:t>
            </w: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Hódmezővásárhely</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nem</w:t>
            </w:r>
          </w:p>
        </w:tc>
        <w:tc>
          <w:tcPr>
            <w:tcW w:w="3021" w:type="dxa"/>
            <w:vAlign w:val="bottom"/>
          </w:tcPr>
          <w:p w:rsidR="005E15FF" w:rsidRPr="00F37112" w:rsidRDefault="005E15FF" w:rsidP="00823B93">
            <w:pPr>
              <w:rPr>
                <w:rFonts w:ascii="Arial" w:hAnsi="Arial" w:cs="Arial"/>
                <w:color w:val="000000"/>
              </w:rPr>
            </w:pPr>
          </w:p>
        </w:tc>
        <w:tc>
          <w:tcPr>
            <w:tcW w:w="2303" w:type="dxa"/>
            <w:vAlign w:val="bottom"/>
          </w:tcPr>
          <w:p w:rsidR="005E15FF" w:rsidRPr="00F37112" w:rsidRDefault="005E15FF" w:rsidP="00823B93">
            <w:pPr>
              <w:rPr>
                <w:rFonts w:ascii="Arial" w:hAnsi="Arial" w:cs="Arial"/>
                <w:color w:val="000000"/>
              </w:rPr>
            </w:pP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Kaposvár</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igen</w:t>
            </w:r>
          </w:p>
        </w:tc>
        <w:tc>
          <w:tcPr>
            <w:tcW w:w="3021" w:type="dxa"/>
            <w:vAlign w:val="bottom"/>
          </w:tcPr>
          <w:p w:rsidR="005E15FF" w:rsidRPr="00F37112" w:rsidRDefault="005E15FF" w:rsidP="00823B93">
            <w:pPr>
              <w:rPr>
                <w:rFonts w:ascii="Arial" w:hAnsi="Arial" w:cs="Arial"/>
                <w:color w:val="000000"/>
              </w:rPr>
            </w:pPr>
            <w:r>
              <w:rPr>
                <w:rFonts w:ascii="Arial" w:hAnsi="Arial" w:cs="Arial"/>
                <w:color w:val="000000"/>
              </w:rPr>
              <w:t>új megállapításra nincs lehetőség</w:t>
            </w:r>
          </w:p>
        </w:tc>
        <w:tc>
          <w:tcPr>
            <w:tcW w:w="2303" w:type="dxa"/>
            <w:vAlign w:val="bottom"/>
          </w:tcPr>
          <w:p w:rsidR="005E15FF" w:rsidRPr="00F37112" w:rsidRDefault="005E15FF" w:rsidP="00823B93">
            <w:pPr>
              <w:rPr>
                <w:rFonts w:ascii="Arial" w:hAnsi="Arial" w:cs="Arial"/>
                <w:color w:val="000000"/>
              </w:rPr>
            </w:pPr>
            <w:r w:rsidRPr="00F37112">
              <w:rPr>
                <w:rFonts w:ascii="Arial" w:hAnsi="Arial" w:cs="Arial"/>
                <w:color w:val="000000"/>
              </w:rPr>
              <w:t xml:space="preserve">alapösszeg 80 %-a </w:t>
            </w:r>
            <w:r>
              <w:rPr>
                <w:rFonts w:ascii="Arial" w:hAnsi="Arial" w:cs="Arial"/>
                <w:color w:val="000000"/>
              </w:rPr>
              <w:t>(</w:t>
            </w:r>
            <w:r w:rsidRPr="00F37112">
              <w:rPr>
                <w:rFonts w:ascii="Arial" w:hAnsi="Arial" w:cs="Arial"/>
                <w:color w:val="000000"/>
              </w:rPr>
              <w:t>23</w:t>
            </w:r>
            <w:r>
              <w:rPr>
                <w:rFonts w:ascii="Arial" w:hAnsi="Arial" w:cs="Arial"/>
                <w:color w:val="000000"/>
              </w:rPr>
              <w:t>.</w:t>
            </w:r>
            <w:r w:rsidRPr="00F37112">
              <w:rPr>
                <w:rFonts w:ascii="Arial" w:hAnsi="Arial" w:cs="Arial"/>
                <w:color w:val="000000"/>
              </w:rPr>
              <w:t>600,- Ft</w:t>
            </w:r>
            <w:r>
              <w:rPr>
                <w:rFonts w:ascii="Arial" w:hAnsi="Arial" w:cs="Arial"/>
                <w:color w:val="000000"/>
              </w:rPr>
              <w:t>)</w:t>
            </w:r>
            <w:r w:rsidRPr="00F37112">
              <w:rPr>
                <w:rFonts w:ascii="Arial" w:hAnsi="Arial" w:cs="Arial"/>
                <w:color w:val="000000"/>
              </w:rPr>
              <w:t xml:space="preserve"> </w:t>
            </w: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Kecskemét</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igen</w:t>
            </w:r>
          </w:p>
        </w:tc>
        <w:tc>
          <w:tcPr>
            <w:tcW w:w="3021" w:type="dxa"/>
            <w:vAlign w:val="bottom"/>
          </w:tcPr>
          <w:p w:rsidR="005E15FF" w:rsidRPr="00F37112" w:rsidRDefault="005E15FF" w:rsidP="00823B93">
            <w:pPr>
              <w:rPr>
                <w:rFonts w:ascii="Arial" w:hAnsi="Arial" w:cs="Arial"/>
                <w:color w:val="000000"/>
              </w:rPr>
            </w:pPr>
            <w:r w:rsidRPr="00F37112">
              <w:rPr>
                <w:rFonts w:ascii="Arial" w:hAnsi="Arial" w:cs="Arial"/>
                <w:color w:val="000000"/>
              </w:rPr>
              <w:t xml:space="preserve">háztartás esetén nyugdíjminimum 100 %-a </w:t>
            </w:r>
            <w:r>
              <w:rPr>
                <w:rFonts w:ascii="Arial" w:hAnsi="Arial" w:cs="Arial"/>
                <w:color w:val="000000"/>
              </w:rPr>
              <w:t>(</w:t>
            </w:r>
            <w:r w:rsidRPr="00F37112">
              <w:rPr>
                <w:rFonts w:ascii="Arial" w:hAnsi="Arial" w:cs="Arial"/>
                <w:color w:val="000000"/>
              </w:rPr>
              <w:t>28</w:t>
            </w:r>
            <w:r>
              <w:rPr>
                <w:rFonts w:ascii="Arial" w:hAnsi="Arial" w:cs="Arial"/>
                <w:color w:val="000000"/>
              </w:rPr>
              <w:t>.</w:t>
            </w:r>
            <w:r w:rsidRPr="00F37112">
              <w:rPr>
                <w:rFonts w:ascii="Arial" w:hAnsi="Arial" w:cs="Arial"/>
                <w:color w:val="000000"/>
              </w:rPr>
              <w:t>500,- Ft</w:t>
            </w:r>
            <w:r>
              <w:rPr>
                <w:rFonts w:ascii="Arial" w:hAnsi="Arial" w:cs="Arial"/>
                <w:color w:val="000000"/>
              </w:rPr>
              <w:t>)</w:t>
            </w:r>
            <w:r w:rsidRPr="00F37112">
              <w:rPr>
                <w:rFonts w:ascii="Arial" w:hAnsi="Arial" w:cs="Arial"/>
                <w:color w:val="000000"/>
              </w:rPr>
              <w:t xml:space="preserve">, egyedülálló esetén 150 %-a </w:t>
            </w:r>
            <w:r>
              <w:rPr>
                <w:rFonts w:ascii="Arial" w:hAnsi="Arial" w:cs="Arial"/>
                <w:color w:val="000000"/>
              </w:rPr>
              <w:t>(42.</w:t>
            </w:r>
            <w:r w:rsidRPr="00F37112">
              <w:rPr>
                <w:rFonts w:ascii="Arial" w:hAnsi="Arial" w:cs="Arial"/>
                <w:color w:val="000000"/>
              </w:rPr>
              <w:t>750,- Ft</w:t>
            </w:r>
            <w:r>
              <w:rPr>
                <w:rFonts w:ascii="Arial" w:hAnsi="Arial" w:cs="Arial"/>
                <w:color w:val="000000"/>
              </w:rPr>
              <w:t>)</w:t>
            </w:r>
          </w:p>
        </w:tc>
        <w:tc>
          <w:tcPr>
            <w:tcW w:w="2303" w:type="dxa"/>
            <w:vAlign w:val="bottom"/>
          </w:tcPr>
          <w:p w:rsidR="005E15FF" w:rsidRPr="00F37112" w:rsidRDefault="005E15FF" w:rsidP="00823B93">
            <w:pPr>
              <w:rPr>
                <w:rFonts w:ascii="Arial" w:hAnsi="Arial" w:cs="Arial"/>
                <w:color w:val="000000"/>
              </w:rPr>
            </w:pPr>
            <w:r w:rsidRPr="00F37112">
              <w:rPr>
                <w:rFonts w:ascii="Arial" w:hAnsi="Arial" w:cs="Arial"/>
                <w:color w:val="000000"/>
              </w:rPr>
              <w:t xml:space="preserve">alapösszeg 80 %-a </w:t>
            </w:r>
            <w:r>
              <w:rPr>
                <w:rFonts w:ascii="Arial" w:hAnsi="Arial" w:cs="Arial"/>
                <w:color w:val="000000"/>
              </w:rPr>
              <w:t>(</w:t>
            </w:r>
            <w:r w:rsidRPr="00F37112">
              <w:rPr>
                <w:rFonts w:ascii="Arial" w:hAnsi="Arial" w:cs="Arial"/>
                <w:color w:val="000000"/>
              </w:rPr>
              <w:t>23</w:t>
            </w:r>
            <w:r>
              <w:rPr>
                <w:rFonts w:ascii="Arial" w:hAnsi="Arial" w:cs="Arial"/>
                <w:color w:val="000000"/>
              </w:rPr>
              <w:t>.</w:t>
            </w:r>
            <w:r w:rsidRPr="00F37112">
              <w:rPr>
                <w:rFonts w:ascii="Arial" w:hAnsi="Arial" w:cs="Arial"/>
                <w:color w:val="000000"/>
              </w:rPr>
              <w:t>600,- Ft</w:t>
            </w:r>
            <w:r>
              <w:rPr>
                <w:rFonts w:ascii="Arial" w:hAnsi="Arial" w:cs="Arial"/>
                <w:color w:val="000000"/>
              </w:rPr>
              <w:t>)</w:t>
            </w: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Miskolc</w:t>
            </w:r>
          </w:p>
        </w:tc>
        <w:tc>
          <w:tcPr>
            <w:tcW w:w="1585" w:type="dxa"/>
            <w:vAlign w:val="bottom"/>
          </w:tcPr>
          <w:p w:rsidR="005E15FF" w:rsidRPr="00F37112" w:rsidRDefault="005E15FF" w:rsidP="001F3146">
            <w:pPr>
              <w:jc w:val="center"/>
              <w:rPr>
                <w:rFonts w:ascii="Arial" w:hAnsi="Arial" w:cs="Arial"/>
                <w:color w:val="000000"/>
              </w:rPr>
            </w:pPr>
            <w:r w:rsidRPr="00F37112">
              <w:rPr>
                <w:rFonts w:ascii="Arial" w:hAnsi="Arial" w:cs="Arial"/>
                <w:color w:val="000000"/>
              </w:rPr>
              <w:t>n</w:t>
            </w:r>
            <w:r>
              <w:rPr>
                <w:rFonts w:ascii="Arial" w:hAnsi="Arial" w:cs="Arial"/>
                <w:color w:val="000000"/>
              </w:rPr>
              <w:t>em</w:t>
            </w:r>
          </w:p>
        </w:tc>
        <w:tc>
          <w:tcPr>
            <w:tcW w:w="3021" w:type="dxa"/>
            <w:vAlign w:val="bottom"/>
          </w:tcPr>
          <w:p w:rsidR="005E15FF" w:rsidRPr="00F37112" w:rsidRDefault="005E15FF" w:rsidP="00823B93">
            <w:pPr>
              <w:rPr>
                <w:rFonts w:ascii="Arial" w:hAnsi="Arial" w:cs="Arial"/>
                <w:color w:val="000000"/>
              </w:rPr>
            </w:pPr>
          </w:p>
        </w:tc>
        <w:tc>
          <w:tcPr>
            <w:tcW w:w="2303" w:type="dxa"/>
            <w:vAlign w:val="bottom"/>
          </w:tcPr>
          <w:p w:rsidR="005E15FF" w:rsidRPr="00F37112" w:rsidRDefault="005E15FF" w:rsidP="00823B93">
            <w:pPr>
              <w:rPr>
                <w:rFonts w:ascii="Arial" w:hAnsi="Arial" w:cs="Arial"/>
                <w:color w:val="000000"/>
              </w:rPr>
            </w:pP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Nagykanizsa</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igen</w:t>
            </w:r>
          </w:p>
        </w:tc>
        <w:tc>
          <w:tcPr>
            <w:tcW w:w="3021" w:type="dxa"/>
            <w:vAlign w:val="bottom"/>
          </w:tcPr>
          <w:p w:rsidR="005E15FF" w:rsidRPr="00F37112" w:rsidRDefault="005E15FF" w:rsidP="00823B93">
            <w:pPr>
              <w:rPr>
                <w:rFonts w:ascii="Arial" w:hAnsi="Arial" w:cs="Arial"/>
                <w:color w:val="000000"/>
              </w:rPr>
            </w:pPr>
            <w:r w:rsidRPr="00F37112">
              <w:rPr>
                <w:rFonts w:ascii="Arial" w:hAnsi="Arial" w:cs="Arial"/>
                <w:color w:val="000000"/>
              </w:rPr>
              <w:t xml:space="preserve">nyugdíjminimum 200%-a </w:t>
            </w:r>
            <w:r>
              <w:rPr>
                <w:rFonts w:ascii="Arial" w:hAnsi="Arial" w:cs="Arial"/>
                <w:color w:val="000000"/>
              </w:rPr>
              <w:t>(</w:t>
            </w:r>
            <w:r w:rsidRPr="00F37112">
              <w:rPr>
                <w:rFonts w:ascii="Arial" w:hAnsi="Arial" w:cs="Arial"/>
                <w:color w:val="000000"/>
              </w:rPr>
              <w:t>57</w:t>
            </w:r>
            <w:r>
              <w:rPr>
                <w:rFonts w:ascii="Arial" w:hAnsi="Arial" w:cs="Arial"/>
                <w:color w:val="000000"/>
              </w:rPr>
              <w:t>.</w:t>
            </w:r>
            <w:r w:rsidRPr="00F37112">
              <w:rPr>
                <w:rFonts w:ascii="Arial" w:hAnsi="Arial" w:cs="Arial"/>
                <w:color w:val="000000"/>
              </w:rPr>
              <w:t>000,- Ft</w:t>
            </w:r>
            <w:r>
              <w:rPr>
                <w:rFonts w:ascii="Arial" w:hAnsi="Arial" w:cs="Arial"/>
                <w:color w:val="000000"/>
              </w:rPr>
              <w:t>)</w:t>
            </w:r>
          </w:p>
        </w:tc>
        <w:tc>
          <w:tcPr>
            <w:tcW w:w="2303" w:type="dxa"/>
            <w:vAlign w:val="bottom"/>
          </w:tcPr>
          <w:p w:rsidR="005E15FF" w:rsidRPr="00F37112" w:rsidRDefault="005E15FF" w:rsidP="00823B93">
            <w:pPr>
              <w:rPr>
                <w:rFonts w:ascii="Arial" w:hAnsi="Arial" w:cs="Arial"/>
                <w:color w:val="000000"/>
              </w:rPr>
            </w:pPr>
            <w:r w:rsidRPr="00F37112">
              <w:rPr>
                <w:rFonts w:ascii="Arial" w:hAnsi="Arial" w:cs="Arial"/>
                <w:color w:val="000000"/>
              </w:rPr>
              <w:t xml:space="preserve">nyugdíjminimum 90%-a </w:t>
            </w:r>
            <w:r>
              <w:rPr>
                <w:rFonts w:ascii="Arial" w:hAnsi="Arial" w:cs="Arial"/>
                <w:color w:val="000000"/>
              </w:rPr>
              <w:t>(</w:t>
            </w:r>
            <w:r w:rsidRPr="00F37112">
              <w:rPr>
                <w:rFonts w:ascii="Arial" w:hAnsi="Arial" w:cs="Arial"/>
                <w:color w:val="000000"/>
              </w:rPr>
              <w:t>25</w:t>
            </w:r>
            <w:r>
              <w:rPr>
                <w:rFonts w:ascii="Arial" w:hAnsi="Arial" w:cs="Arial"/>
                <w:color w:val="000000"/>
              </w:rPr>
              <w:t>.</w:t>
            </w:r>
            <w:r w:rsidRPr="00F37112">
              <w:rPr>
                <w:rFonts w:ascii="Arial" w:hAnsi="Arial" w:cs="Arial"/>
                <w:color w:val="000000"/>
              </w:rPr>
              <w:t>650,- Ft</w:t>
            </w:r>
            <w:r>
              <w:rPr>
                <w:rFonts w:ascii="Arial" w:hAnsi="Arial" w:cs="Arial"/>
                <w:color w:val="000000"/>
              </w:rPr>
              <w:t>)</w:t>
            </w: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Nyíregyháza</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igen</w:t>
            </w:r>
          </w:p>
        </w:tc>
        <w:tc>
          <w:tcPr>
            <w:tcW w:w="3021" w:type="dxa"/>
            <w:vAlign w:val="bottom"/>
          </w:tcPr>
          <w:p w:rsidR="005E15FF" w:rsidRPr="00F37112" w:rsidRDefault="005E15FF" w:rsidP="00823B93">
            <w:pPr>
              <w:rPr>
                <w:rFonts w:ascii="Arial" w:hAnsi="Arial" w:cs="Arial"/>
                <w:color w:val="000000"/>
              </w:rPr>
            </w:pPr>
            <w:r>
              <w:rPr>
                <w:rFonts w:ascii="Arial" w:hAnsi="Arial" w:cs="Arial"/>
                <w:color w:val="000000"/>
              </w:rPr>
              <w:t>c</w:t>
            </w:r>
            <w:r w:rsidRPr="00F37112">
              <w:rPr>
                <w:rFonts w:ascii="Arial" w:hAnsi="Arial" w:cs="Arial"/>
                <w:color w:val="000000"/>
              </w:rPr>
              <w:t>salád</w:t>
            </w:r>
            <w:r>
              <w:rPr>
                <w:rFonts w:ascii="Arial" w:hAnsi="Arial" w:cs="Arial"/>
                <w:color w:val="000000"/>
              </w:rPr>
              <w:t xml:space="preserve"> esetén</w:t>
            </w:r>
            <w:r w:rsidRPr="00F37112">
              <w:rPr>
                <w:rFonts w:ascii="Arial" w:hAnsi="Arial" w:cs="Arial"/>
                <w:color w:val="000000"/>
              </w:rPr>
              <w:t xml:space="preserve"> nyugdíjminimum 150 %-a </w:t>
            </w:r>
            <w:r>
              <w:rPr>
                <w:rFonts w:ascii="Arial" w:hAnsi="Arial" w:cs="Arial"/>
                <w:color w:val="000000"/>
              </w:rPr>
              <w:t>(</w:t>
            </w:r>
            <w:r w:rsidRPr="00F37112">
              <w:rPr>
                <w:rFonts w:ascii="Arial" w:hAnsi="Arial" w:cs="Arial"/>
                <w:color w:val="000000"/>
              </w:rPr>
              <w:t>42</w:t>
            </w:r>
            <w:r>
              <w:rPr>
                <w:rFonts w:ascii="Arial" w:hAnsi="Arial" w:cs="Arial"/>
                <w:color w:val="000000"/>
              </w:rPr>
              <w:t>.</w:t>
            </w:r>
            <w:r w:rsidRPr="00F37112">
              <w:rPr>
                <w:rFonts w:ascii="Arial" w:hAnsi="Arial" w:cs="Arial"/>
                <w:color w:val="000000"/>
              </w:rPr>
              <w:t>750,- Ft</w:t>
            </w:r>
            <w:r>
              <w:rPr>
                <w:rFonts w:ascii="Arial" w:hAnsi="Arial" w:cs="Arial"/>
                <w:color w:val="000000"/>
              </w:rPr>
              <w:t>)</w:t>
            </w:r>
            <w:r w:rsidRPr="00F37112">
              <w:rPr>
                <w:rFonts w:ascii="Arial" w:hAnsi="Arial" w:cs="Arial"/>
                <w:color w:val="000000"/>
              </w:rPr>
              <w:t xml:space="preserve">, egyedülálló esetén 170 %-a </w:t>
            </w:r>
            <w:r>
              <w:rPr>
                <w:rFonts w:ascii="Arial" w:hAnsi="Arial" w:cs="Arial"/>
                <w:color w:val="000000"/>
              </w:rPr>
              <w:t>(</w:t>
            </w:r>
            <w:r w:rsidRPr="00F37112">
              <w:rPr>
                <w:rFonts w:ascii="Arial" w:hAnsi="Arial" w:cs="Arial"/>
                <w:color w:val="000000"/>
              </w:rPr>
              <w:t>48</w:t>
            </w:r>
            <w:r>
              <w:rPr>
                <w:rFonts w:ascii="Arial" w:hAnsi="Arial" w:cs="Arial"/>
                <w:color w:val="000000"/>
              </w:rPr>
              <w:t>.</w:t>
            </w:r>
            <w:r w:rsidRPr="00F37112">
              <w:rPr>
                <w:rFonts w:ascii="Arial" w:hAnsi="Arial" w:cs="Arial"/>
                <w:color w:val="000000"/>
              </w:rPr>
              <w:t>450,-Ft</w:t>
            </w:r>
            <w:r>
              <w:rPr>
                <w:rFonts w:ascii="Arial" w:hAnsi="Arial" w:cs="Arial"/>
                <w:color w:val="000000"/>
              </w:rPr>
              <w:t>)</w:t>
            </w:r>
          </w:p>
        </w:tc>
        <w:tc>
          <w:tcPr>
            <w:tcW w:w="2303" w:type="dxa"/>
            <w:vAlign w:val="bottom"/>
          </w:tcPr>
          <w:p w:rsidR="005E15FF" w:rsidRPr="00F37112" w:rsidRDefault="005E15FF" w:rsidP="00823B93">
            <w:pPr>
              <w:rPr>
                <w:rFonts w:ascii="Arial" w:hAnsi="Arial" w:cs="Arial"/>
                <w:color w:val="000000"/>
              </w:rPr>
            </w:pPr>
            <w:r>
              <w:rPr>
                <w:rFonts w:ascii="Arial" w:hAnsi="Arial" w:cs="Arial"/>
                <w:color w:val="000000"/>
              </w:rPr>
              <w:t>N</w:t>
            </w:r>
            <w:r w:rsidRPr="00F37112">
              <w:rPr>
                <w:rFonts w:ascii="Arial" w:hAnsi="Arial" w:cs="Arial"/>
                <w:color w:val="000000"/>
              </w:rPr>
              <w:t>yugdíjminimum</w:t>
            </w:r>
            <w:r>
              <w:rPr>
                <w:rFonts w:ascii="Arial" w:hAnsi="Arial" w:cs="Arial"/>
                <w:color w:val="000000"/>
              </w:rPr>
              <w:t xml:space="preserve"> 100 %-a</w:t>
            </w:r>
            <w:r w:rsidRPr="00F37112">
              <w:rPr>
                <w:rFonts w:ascii="Arial" w:hAnsi="Arial" w:cs="Arial"/>
                <w:color w:val="000000"/>
              </w:rPr>
              <w:t xml:space="preserve"> </w:t>
            </w:r>
            <w:r>
              <w:rPr>
                <w:rFonts w:ascii="Arial" w:hAnsi="Arial" w:cs="Arial"/>
                <w:color w:val="000000"/>
              </w:rPr>
              <w:t>(</w:t>
            </w:r>
            <w:r w:rsidRPr="00F37112">
              <w:rPr>
                <w:rFonts w:ascii="Arial" w:hAnsi="Arial" w:cs="Arial"/>
                <w:color w:val="000000"/>
              </w:rPr>
              <w:t>28</w:t>
            </w:r>
            <w:r>
              <w:rPr>
                <w:rFonts w:ascii="Arial" w:hAnsi="Arial" w:cs="Arial"/>
                <w:color w:val="000000"/>
              </w:rPr>
              <w:t>.</w:t>
            </w:r>
            <w:r w:rsidRPr="00F37112">
              <w:rPr>
                <w:rFonts w:ascii="Arial" w:hAnsi="Arial" w:cs="Arial"/>
                <w:color w:val="000000"/>
              </w:rPr>
              <w:t>500,- Ft</w:t>
            </w:r>
            <w:r>
              <w:rPr>
                <w:rFonts w:ascii="Arial" w:hAnsi="Arial" w:cs="Arial"/>
                <w:color w:val="000000"/>
              </w:rPr>
              <w:t>)</w:t>
            </w: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Pécs</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igen</w:t>
            </w:r>
          </w:p>
        </w:tc>
        <w:tc>
          <w:tcPr>
            <w:tcW w:w="3021" w:type="dxa"/>
            <w:vAlign w:val="bottom"/>
          </w:tcPr>
          <w:p w:rsidR="005E15FF" w:rsidRPr="00F37112" w:rsidRDefault="005E15FF" w:rsidP="00823B93">
            <w:pPr>
              <w:rPr>
                <w:rFonts w:ascii="Arial" w:hAnsi="Arial" w:cs="Arial"/>
                <w:color w:val="000000"/>
              </w:rPr>
            </w:pPr>
            <w:r>
              <w:rPr>
                <w:rFonts w:ascii="Arial" w:hAnsi="Arial" w:cs="Arial"/>
                <w:color w:val="000000"/>
              </w:rPr>
              <w:t>c</w:t>
            </w:r>
            <w:r w:rsidRPr="00F37112">
              <w:rPr>
                <w:rFonts w:ascii="Arial" w:hAnsi="Arial" w:cs="Arial"/>
                <w:color w:val="000000"/>
              </w:rPr>
              <w:t>salád</w:t>
            </w:r>
            <w:r>
              <w:rPr>
                <w:rFonts w:ascii="Arial" w:hAnsi="Arial" w:cs="Arial"/>
                <w:color w:val="000000"/>
              </w:rPr>
              <w:t xml:space="preserve"> esetén</w:t>
            </w:r>
            <w:r w:rsidRPr="00F37112">
              <w:rPr>
                <w:rFonts w:ascii="Arial" w:hAnsi="Arial" w:cs="Arial"/>
                <w:color w:val="000000"/>
              </w:rPr>
              <w:t xml:space="preserve"> nyugdíjminimum 100 %-a </w:t>
            </w:r>
            <w:r>
              <w:rPr>
                <w:rFonts w:ascii="Arial" w:hAnsi="Arial" w:cs="Arial"/>
                <w:color w:val="000000"/>
              </w:rPr>
              <w:t>(</w:t>
            </w:r>
            <w:r w:rsidRPr="00F37112">
              <w:rPr>
                <w:rFonts w:ascii="Arial" w:hAnsi="Arial" w:cs="Arial"/>
                <w:color w:val="000000"/>
              </w:rPr>
              <w:t>28</w:t>
            </w:r>
            <w:r>
              <w:rPr>
                <w:rFonts w:ascii="Arial" w:hAnsi="Arial" w:cs="Arial"/>
                <w:color w:val="000000"/>
              </w:rPr>
              <w:t>.</w:t>
            </w:r>
            <w:r w:rsidRPr="00F37112">
              <w:rPr>
                <w:rFonts w:ascii="Arial" w:hAnsi="Arial" w:cs="Arial"/>
                <w:color w:val="000000"/>
              </w:rPr>
              <w:t>500,- Ft</w:t>
            </w:r>
            <w:r>
              <w:rPr>
                <w:rFonts w:ascii="Arial" w:hAnsi="Arial" w:cs="Arial"/>
                <w:color w:val="000000"/>
              </w:rPr>
              <w:t>)</w:t>
            </w:r>
            <w:r w:rsidRPr="00F37112">
              <w:rPr>
                <w:rFonts w:ascii="Arial" w:hAnsi="Arial" w:cs="Arial"/>
                <w:color w:val="000000"/>
              </w:rPr>
              <w:t xml:space="preserve">, egyedülálló esetén 150 %-a </w:t>
            </w:r>
            <w:r>
              <w:rPr>
                <w:rFonts w:ascii="Arial" w:hAnsi="Arial" w:cs="Arial"/>
                <w:color w:val="000000"/>
              </w:rPr>
              <w:t>(</w:t>
            </w:r>
            <w:r w:rsidRPr="00F37112">
              <w:rPr>
                <w:rFonts w:ascii="Arial" w:hAnsi="Arial" w:cs="Arial"/>
                <w:color w:val="000000"/>
              </w:rPr>
              <w:t>42</w:t>
            </w:r>
            <w:r>
              <w:rPr>
                <w:rFonts w:ascii="Arial" w:hAnsi="Arial" w:cs="Arial"/>
                <w:color w:val="000000"/>
              </w:rPr>
              <w:t>.</w:t>
            </w:r>
            <w:r w:rsidRPr="00F37112">
              <w:rPr>
                <w:rFonts w:ascii="Arial" w:hAnsi="Arial" w:cs="Arial"/>
                <w:color w:val="000000"/>
              </w:rPr>
              <w:t>750,- Ft</w:t>
            </w:r>
            <w:r>
              <w:rPr>
                <w:rFonts w:ascii="Arial" w:hAnsi="Arial" w:cs="Arial"/>
                <w:color w:val="000000"/>
              </w:rPr>
              <w:t>)</w:t>
            </w:r>
          </w:p>
        </w:tc>
        <w:tc>
          <w:tcPr>
            <w:tcW w:w="2303" w:type="dxa"/>
            <w:vAlign w:val="bottom"/>
          </w:tcPr>
          <w:p w:rsidR="005E15FF" w:rsidRPr="00F37112" w:rsidRDefault="005E15FF" w:rsidP="00823B93">
            <w:pPr>
              <w:rPr>
                <w:rFonts w:ascii="Arial" w:hAnsi="Arial" w:cs="Arial"/>
                <w:color w:val="000000"/>
              </w:rPr>
            </w:pPr>
            <w:r w:rsidRPr="00F37112">
              <w:rPr>
                <w:rFonts w:ascii="Arial" w:hAnsi="Arial" w:cs="Arial"/>
                <w:color w:val="000000"/>
              </w:rPr>
              <w:t>22</w:t>
            </w:r>
            <w:r>
              <w:rPr>
                <w:rFonts w:ascii="Arial" w:hAnsi="Arial" w:cs="Arial"/>
                <w:color w:val="000000"/>
              </w:rPr>
              <w:t>.</w:t>
            </w:r>
            <w:r w:rsidRPr="00F37112">
              <w:rPr>
                <w:rFonts w:ascii="Arial" w:hAnsi="Arial" w:cs="Arial"/>
                <w:color w:val="000000"/>
              </w:rPr>
              <w:t>500,- Ft</w:t>
            </w: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Salgótarján</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nem</w:t>
            </w:r>
          </w:p>
        </w:tc>
        <w:tc>
          <w:tcPr>
            <w:tcW w:w="3021" w:type="dxa"/>
            <w:vAlign w:val="bottom"/>
          </w:tcPr>
          <w:p w:rsidR="005E15FF" w:rsidRPr="00F37112" w:rsidRDefault="005E15FF" w:rsidP="00823B93">
            <w:pPr>
              <w:rPr>
                <w:rFonts w:ascii="Arial" w:hAnsi="Arial" w:cs="Arial"/>
                <w:color w:val="000000"/>
              </w:rPr>
            </w:pPr>
          </w:p>
        </w:tc>
        <w:tc>
          <w:tcPr>
            <w:tcW w:w="2303" w:type="dxa"/>
            <w:vAlign w:val="bottom"/>
          </w:tcPr>
          <w:p w:rsidR="005E15FF" w:rsidRPr="00F37112" w:rsidRDefault="005E15FF" w:rsidP="00823B93">
            <w:pPr>
              <w:rPr>
                <w:rFonts w:ascii="Arial" w:hAnsi="Arial" w:cs="Arial"/>
                <w:color w:val="000000"/>
              </w:rPr>
            </w:pP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Sopron</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igen</w:t>
            </w:r>
          </w:p>
        </w:tc>
        <w:tc>
          <w:tcPr>
            <w:tcW w:w="3021" w:type="dxa"/>
            <w:vAlign w:val="bottom"/>
          </w:tcPr>
          <w:p w:rsidR="005E15FF" w:rsidRPr="00F37112" w:rsidRDefault="005E15FF" w:rsidP="00823B93">
            <w:pPr>
              <w:rPr>
                <w:rFonts w:ascii="Arial" w:hAnsi="Arial" w:cs="Arial"/>
                <w:color w:val="000000"/>
              </w:rPr>
            </w:pPr>
            <w:r>
              <w:rPr>
                <w:rFonts w:ascii="Arial" w:hAnsi="Arial" w:cs="Arial"/>
                <w:color w:val="000000"/>
              </w:rPr>
              <w:t>nincs</w:t>
            </w:r>
          </w:p>
        </w:tc>
        <w:tc>
          <w:tcPr>
            <w:tcW w:w="2303" w:type="dxa"/>
            <w:vAlign w:val="bottom"/>
          </w:tcPr>
          <w:p w:rsidR="005E15FF" w:rsidRPr="00F37112" w:rsidRDefault="005E15FF" w:rsidP="00823B93">
            <w:pPr>
              <w:rPr>
                <w:rFonts w:ascii="Arial" w:hAnsi="Arial" w:cs="Arial"/>
                <w:color w:val="000000"/>
              </w:rPr>
            </w:pPr>
            <w:r w:rsidRPr="00F37112">
              <w:rPr>
                <w:rFonts w:ascii="Arial" w:hAnsi="Arial" w:cs="Arial"/>
                <w:color w:val="000000"/>
              </w:rPr>
              <w:t>29</w:t>
            </w:r>
            <w:r>
              <w:rPr>
                <w:rFonts w:ascii="Arial" w:hAnsi="Arial" w:cs="Arial"/>
                <w:color w:val="000000"/>
              </w:rPr>
              <w:t>.</w:t>
            </w:r>
            <w:r w:rsidRPr="00F37112">
              <w:rPr>
                <w:rFonts w:ascii="Arial" w:hAnsi="Arial" w:cs="Arial"/>
                <w:color w:val="000000"/>
              </w:rPr>
              <w:t>500,- Ft</w:t>
            </w: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Szeged</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nem</w:t>
            </w:r>
          </w:p>
        </w:tc>
        <w:tc>
          <w:tcPr>
            <w:tcW w:w="3021" w:type="dxa"/>
            <w:vAlign w:val="bottom"/>
          </w:tcPr>
          <w:p w:rsidR="005E15FF" w:rsidRPr="00F37112" w:rsidRDefault="005E15FF" w:rsidP="00823B93">
            <w:pPr>
              <w:rPr>
                <w:rFonts w:ascii="Arial" w:hAnsi="Arial" w:cs="Arial"/>
                <w:color w:val="000000"/>
              </w:rPr>
            </w:pPr>
          </w:p>
        </w:tc>
        <w:tc>
          <w:tcPr>
            <w:tcW w:w="2303" w:type="dxa"/>
            <w:vAlign w:val="bottom"/>
          </w:tcPr>
          <w:p w:rsidR="005E15FF" w:rsidRPr="00F37112" w:rsidRDefault="005E15FF" w:rsidP="00823B93">
            <w:pPr>
              <w:rPr>
                <w:rFonts w:ascii="Arial" w:hAnsi="Arial" w:cs="Arial"/>
                <w:color w:val="000000"/>
              </w:rPr>
            </w:pP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Székesfehérvár</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nem</w:t>
            </w:r>
          </w:p>
        </w:tc>
        <w:tc>
          <w:tcPr>
            <w:tcW w:w="3021" w:type="dxa"/>
            <w:vAlign w:val="bottom"/>
          </w:tcPr>
          <w:p w:rsidR="005E15FF" w:rsidRPr="00F37112" w:rsidRDefault="005E15FF" w:rsidP="00823B93">
            <w:pPr>
              <w:rPr>
                <w:rFonts w:ascii="Arial" w:hAnsi="Arial" w:cs="Arial"/>
                <w:color w:val="000000"/>
              </w:rPr>
            </w:pPr>
          </w:p>
        </w:tc>
        <w:tc>
          <w:tcPr>
            <w:tcW w:w="2303" w:type="dxa"/>
            <w:vAlign w:val="bottom"/>
          </w:tcPr>
          <w:p w:rsidR="005E15FF" w:rsidRPr="00F37112" w:rsidRDefault="005E15FF" w:rsidP="00823B93">
            <w:pPr>
              <w:rPr>
                <w:rFonts w:ascii="Arial" w:hAnsi="Arial" w:cs="Arial"/>
                <w:color w:val="000000"/>
              </w:rPr>
            </w:pP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Szekszárd</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igen</w:t>
            </w:r>
          </w:p>
        </w:tc>
        <w:tc>
          <w:tcPr>
            <w:tcW w:w="3021" w:type="dxa"/>
            <w:vAlign w:val="bottom"/>
          </w:tcPr>
          <w:p w:rsidR="005E15FF" w:rsidRPr="00F37112" w:rsidRDefault="005E15FF" w:rsidP="00823B93">
            <w:pPr>
              <w:rPr>
                <w:rFonts w:ascii="Arial" w:hAnsi="Arial" w:cs="Arial"/>
                <w:color w:val="000000"/>
              </w:rPr>
            </w:pPr>
            <w:r w:rsidRPr="00F37112">
              <w:rPr>
                <w:rFonts w:ascii="Arial" w:hAnsi="Arial" w:cs="Arial"/>
                <w:color w:val="000000"/>
              </w:rPr>
              <w:t xml:space="preserve">nyugdíjminimum 150 %-a </w:t>
            </w:r>
            <w:r>
              <w:rPr>
                <w:rFonts w:ascii="Arial" w:hAnsi="Arial" w:cs="Arial"/>
                <w:color w:val="000000"/>
              </w:rPr>
              <w:t>(</w:t>
            </w:r>
            <w:r w:rsidRPr="00F37112">
              <w:rPr>
                <w:rFonts w:ascii="Arial" w:hAnsi="Arial" w:cs="Arial"/>
                <w:color w:val="000000"/>
              </w:rPr>
              <w:t>42</w:t>
            </w:r>
            <w:r>
              <w:rPr>
                <w:rFonts w:ascii="Arial" w:hAnsi="Arial" w:cs="Arial"/>
                <w:color w:val="000000"/>
              </w:rPr>
              <w:t>.</w:t>
            </w:r>
            <w:r w:rsidRPr="00F37112">
              <w:rPr>
                <w:rFonts w:ascii="Arial" w:hAnsi="Arial" w:cs="Arial"/>
                <w:color w:val="000000"/>
              </w:rPr>
              <w:t>750,- Ft</w:t>
            </w:r>
            <w:r>
              <w:rPr>
                <w:rFonts w:ascii="Arial" w:hAnsi="Arial" w:cs="Arial"/>
                <w:color w:val="000000"/>
              </w:rPr>
              <w:t>)</w:t>
            </w:r>
          </w:p>
        </w:tc>
        <w:tc>
          <w:tcPr>
            <w:tcW w:w="2303" w:type="dxa"/>
            <w:vAlign w:val="bottom"/>
          </w:tcPr>
          <w:p w:rsidR="005E15FF" w:rsidRPr="00F37112" w:rsidRDefault="005E15FF" w:rsidP="00823B93">
            <w:pPr>
              <w:rPr>
                <w:rFonts w:ascii="Arial" w:hAnsi="Arial" w:cs="Arial"/>
                <w:color w:val="000000"/>
              </w:rPr>
            </w:pPr>
            <w:r w:rsidRPr="00F37112">
              <w:rPr>
                <w:rFonts w:ascii="Arial" w:hAnsi="Arial" w:cs="Arial"/>
                <w:color w:val="000000"/>
              </w:rPr>
              <w:t xml:space="preserve">alapösszeg 80 %-a </w:t>
            </w:r>
            <w:r>
              <w:rPr>
                <w:rFonts w:ascii="Arial" w:hAnsi="Arial" w:cs="Arial"/>
                <w:color w:val="000000"/>
              </w:rPr>
              <w:t>(</w:t>
            </w:r>
            <w:r w:rsidRPr="00F37112">
              <w:rPr>
                <w:rFonts w:ascii="Arial" w:hAnsi="Arial" w:cs="Arial"/>
                <w:color w:val="000000"/>
              </w:rPr>
              <w:t>23</w:t>
            </w:r>
            <w:r>
              <w:rPr>
                <w:rFonts w:ascii="Arial" w:hAnsi="Arial" w:cs="Arial"/>
                <w:color w:val="000000"/>
              </w:rPr>
              <w:t>.</w:t>
            </w:r>
            <w:r w:rsidRPr="00F37112">
              <w:rPr>
                <w:rFonts w:ascii="Arial" w:hAnsi="Arial" w:cs="Arial"/>
                <w:color w:val="000000"/>
              </w:rPr>
              <w:t>600,- Ft</w:t>
            </w:r>
            <w:r>
              <w:rPr>
                <w:rFonts w:ascii="Arial" w:hAnsi="Arial" w:cs="Arial"/>
                <w:color w:val="000000"/>
              </w:rPr>
              <w:t>)</w:t>
            </w: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Szolnok</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nem</w:t>
            </w:r>
          </w:p>
        </w:tc>
        <w:tc>
          <w:tcPr>
            <w:tcW w:w="3021" w:type="dxa"/>
            <w:vAlign w:val="bottom"/>
          </w:tcPr>
          <w:p w:rsidR="005E15FF" w:rsidRPr="00F37112" w:rsidRDefault="005E15FF" w:rsidP="00823B93">
            <w:pPr>
              <w:rPr>
                <w:rFonts w:ascii="Arial" w:hAnsi="Arial" w:cs="Arial"/>
                <w:color w:val="000000"/>
              </w:rPr>
            </w:pPr>
          </w:p>
        </w:tc>
        <w:tc>
          <w:tcPr>
            <w:tcW w:w="2303" w:type="dxa"/>
            <w:vAlign w:val="bottom"/>
          </w:tcPr>
          <w:p w:rsidR="005E15FF" w:rsidRPr="00F37112" w:rsidRDefault="005E15FF" w:rsidP="00823B93">
            <w:pPr>
              <w:rPr>
                <w:rFonts w:ascii="Arial" w:hAnsi="Arial" w:cs="Arial"/>
                <w:color w:val="000000"/>
              </w:rPr>
            </w:pP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Szombathely</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igen</w:t>
            </w:r>
          </w:p>
        </w:tc>
        <w:tc>
          <w:tcPr>
            <w:tcW w:w="3021" w:type="dxa"/>
            <w:vAlign w:val="bottom"/>
          </w:tcPr>
          <w:p w:rsidR="005E15FF" w:rsidRPr="00F37112" w:rsidRDefault="005E15FF" w:rsidP="00823B93">
            <w:pPr>
              <w:rPr>
                <w:rFonts w:ascii="Arial" w:hAnsi="Arial" w:cs="Arial"/>
                <w:color w:val="000000"/>
              </w:rPr>
            </w:pPr>
            <w:r>
              <w:rPr>
                <w:rFonts w:ascii="Arial" w:hAnsi="Arial" w:cs="Arial"/>
                <w:color w:val="000000"/>
              </w:rPr>
              <w:t>új megállapításra nincs lehetőség</w:t>
            </w:r>
          </w:p>
        </w:tc>
        <w:tc>
          <w:tcPr>
            <w:tcW w:w="2303" w:type="dxa"/>
            <w:vAlign w:val="bottom"/>
          </w:tcPr>
          <w:p w:rsidR="005E15FF" w:rsidRPr="00F37112" w:rsidRDefault="005E15FF" w:rsidP="00823B93">
            <w:pPr>
              <w:rPr>
                <w:rFonts w:ascii="Arial" w:hAnsi="Arial" w:cs="Arial"/>
                <w:color w:val="000000"/>
              </w:rPr>
            </w:pPr>
            <w:r w:rsidRPr="00F37112">
              <w:rPr>
                <w:rFonts w:ascii="Arial" w:hAnsi="Arial" w:cs="Arial"/>
                <w:color w:val="000000"/>
              </w:rPr>
              <w:t>alapösszeg 80 %-a</w:t>
            </w:r>
            <w:r>
              <w:rPr>
                <w:rFonts w:ascii="Arial" w:hAnsi="Arial" w:cs="Arial"/>
                <w:color w:val="000000"/>
              </w:rPr>
              <w:t xml:space="preserve"> (23.600,-Ft)</w:t>
            </w:r>
            <w:r w:rsidRPr="00F37112">
              <w:rPr>
                <w:rFonts w:ascii="Arial" w:hAnsi="Arial" w:cs="Arial"/>
                <w:color w:val="000000"/>
              </w:rPr>
              <w:t xml:space="preserve"> </w:t>
            </w: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Tatabánya</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igen</w:t>
            </w:r>
          </w:p>
        </w:tc>
        <w:tc>
          <w:tcPr>
            <w:tcW w:w="3021" w:type="dxa"/>
            <w:vAlign w:val="bottom"/>
          </w:tcPr>
          <w:p w:rsidR="005E15FF" w:rsidRPr="00F37112" w:rsidRDefault="005E15FF" w:rsidP="00823B93">
            <w:pPr>
              <w:rPr>
                <w:rFonts w:ascii="Arial" w:hAnsi="Arial" w:cs="Arial"/>
                <w:color w:val="000000"/>
              </w:rPr>
            </w:pPr>
            <w:r w:rsidRPr="00F37112">
              <w:rPr>
                <w:rFonts w:ascii="Arial" w:hAnsi="Arial" w:cs="Arial"/>
                <w:color w:val="000000"/>
              </w:rPr>
              <w:t xml:space="preserve">nyugdíjminimum 150 %-a </w:t>
            </w:r>
            <w:r>
              <w:rPr>
                <w:rFonts w:ascii="Arial" w:hAnsi="Arial" w:cs="Arial"/>
                <w:color w:val="000000"/>
              </w:rPr>
              <w:t>(</w:t>
            </w:r>
            <w:r w:rsidRPr="00F37112">
              <w:rPr>
                <w:rFonts w:ascii="Arial" w:hAnsi="Arial" w:cs="Arial"/>
                <w:color w:val="000000"/>
              </w:rPr>
              <w:t>42</w:t>
            </w:r>
            <w:r>
              <w:rPr>
                <w:rFonts w:ascii="Arial" w:hAnsi="Arial" w:cs="Arial"/>
                <w:color w:val="000000"/>
              </w:rPr>
              <w:t>.</w:t>
            </w:r>
            <w:r w:rsidRPr="00F37112">
              <w:rPr>
                <w:rFonts w:ascii="Arial" w:hAnsi="Arial" w:cs="Arial"/>
                <w:color w:val="000000"/>
              </w:rPr>
              <w:t>750,- Ft</w:t>
            </w:r>
            <w:r>
              <w:rPr>
                <w:rFonts w:ascii="Arial" w:hAnsi="Arial" w:cs="Arial"/>
                <w:color w:val="000000"/>
              </w:rPr>
              <w:t>)</w:t>
            </w:r>
          </w:p>
        </w:tc>
        <w:tc>
          <w:tcPr>
            <w:tcW w:w="2303" w:type="dxa"/>
            <w:vAlign w:val="bottom"/>
          </w:tcPr>
          <w:p w:rsidR="005E15FF" w:rsidRPr="00F37112" w:rsidRDefault="005E15FF" w:rsidP="00823B93">
            <w:pPr>
              <w:rPr>
                <w:rFonts w:ascii="Arial" w:hAnsi="Arial" w:cs="Arial"/>
                <w:color w:val="000000"/>
              </w:rPr>
            </w:pPr>
            <w:r w:rsidRPr="00F37112">
              <w:rPr>
                <w:rFonts w:ascii="Arial" w:hAnsi="Arial" w:cs="Arial"/>
                <w:color w:val="000000"/>
              </w:rPr>
              <w:t xml:space="preserve">nyugdíjminimum 90%-a </w:t>
            </w:r>
            <w:r>
              <w:rPr>
                <w:rFonts w:ascii="Arial" w:hAnsi="Arial" w:cs="Arial"/>
                <w:color w:val="000000"/>
              </w:rPr>
              <w:t>(</w:t>
            </w:r>
            <w:r w:rsidRPr="00F37112">
              <w:rPr>
                <w:rFonts w:ascii="Arial" w:hAnsi="Arial" w:cs="Arial"/>
                <w:color w:val="000000"/>
              </w:rPr>
              <w:t>25</w:t>
            </w:r>
            <w:r>
              <w:rPr>
                <w:rFonts w:ascii="Arial" w:hAnsi="Arial" w:cs="Arial"/>
                <w:color w:val="000000"/>
              </w:rPr>
              <w:t>.</w:t>
            </w:r>
            <w:r w:rsidRPr="00F37112">
              <w:rPr>
                <w:rFonts w:ascii="Arial" w:hAnsi="Arial" w:cs="Arial"/>
                <w:color w:val="000000"/>
              </w:rPr>
              <w:t>650,- Ft</w:t>
            </w:r>
            <w:r>
              <w:rPr>
                <w:rFonts w:ascii="Arial" w:hAnsi="Arial" w:cs="Arial"/>
                <w:color w:val="000000"/>
              </w:rPr>
              <w:t>)</w:t>
            </w: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Veszprém</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nem</w:t>
            </w:r>
          </w:p>
        </w:tc>
        <w:tc>
          <w:tcPr>
            <w:tcW w:w="3021" w:type="dxa"/>
            <w:vAlign w:val="bottom"/>
          </w:tcPr>
          <w:p w:rsidR="005E15FF" w:rsidRPr="00F37112" w:rsidRDefault="005E15FF" w:rsidP="00823B93">
            <w:pPr>
              <w:rPr>
                <w:rFonts w:ascii="Arial" w:hAnsi="Arial" w:cs="Arial"/>
                <w:color w:val="000000"/>
              </w:rPr>
            </w:pPr>
          </w:p>
        </w:tc>
        <w:tc>
          <w:tcPr>
            <w:tcW w:w="2303" w:type="dxa"/>
            <w:vAlign w:val="bottom"/>
          </w:tcPr>
          <w:p w:rsidR="005E15FF" w:rsidRPr="00F37112" w:rsidRDefault="005E15FF" w:rsidP="00823B93">
            <w:pPr>
              <w:rPr>
                <w:rFonts w:ascii="Arial" w:hAnsi="Arial" w:cs="Arial"/>
                <w:color w:val="000000"/>
              </w:rPr>
            </w:pPr>
          </w:p>
        </w:tc>
      </w:tr>
      <w:tr w:rsidR="005E15FF" w:rsidRPr="00D34EA4" w:rsidTr="001F3146">
        <w:tc>
          <w:tcPr>
            <w:tcW w:w="2404" w:type="dxa"/>
          </w:tcPr>
          <w:p w:rsidR="005E15FF" w:rsidRPr="001F3146" w:rsidRDefault="005E15FF" w:rsidP="00F37112">
            <w:pPr>
              <w:pStyle w:val="Title"/>
              <w:jc w:val="both"/>
              <w:rPr>
                <w:rFonts w:ascii="Arial" w:hAnsi="Arial" w:cs="Arial"/>
                <w:u w:val="none"/>
              </w:rPr>
            </w:pPr>
            <w:r w:rsidRPr="001F3146">
              <w:rPr>
                <w:rFonts w:ascii="Arial" w:hAnsi="Arial" w:cs="Arial"/>
                <w:u w:val="none"/>
              </w:rPr>
              <w:t>Zalaegerszeg</w:t>
            </w:r>
          </w:p>
        </w:tc>
        <w:tc>
          <w:tcPr>
            <w:tcW w:w="1585" w:type="dxa"/>
            <w:vAlign w:val="bottom"/>
          </w:tcPr>
          <w:p w:rsidR="005E15FF" w:rsidRPr="00F37112" w:rsidRDefault="005E15FF" w:rsidP="001F3146">
            <w:pPr>
              <w:jc w:val="center"/>
              <w:rPr>
                <w:rFonts w:ascii="Arial" w:hAnsi="Arial" w:cs="Arial"/>
                <w:color w:val="000000"/>
              </w:rPr>
            </w:pPr>
            <w:r>
              <w:rPr>
                <w:rFonts w:ascii="Arial" w:hAnsi="Arial" w:cs="Arial"/>
                <w:color w:val="000000"/>
              </w:rPr>
              <w:t>nem</w:t>
            </w:r>
          </w:p>
        </w:tc>
        <w:tc>
          <w:tcPr>
            <w:tcW w:w="3021" w:type="dxa"/>
            <w:vAlign w:val="bottom"/>
          </w:tcPr>
          <w:p w:rsidR="005E15FF" w:rsidRPr="00F37112" w:rsidRDefault="005E15FF" w:rsidP="00823B93">
            <w:pPr>
              <w:rPr>
                <w:rFonts w:ascii="Arial" w:hAnsi="Arial" w:cs="Arial"/>
                <w:color w:val="000000"/>
              </w:rPr>
            </w:pPr>
          </w:p>
        </w:tc>
        <w:tc>
          <w:tcPr>
            <w:tcW w:w="2303" w:type="dxa"/>
            <w:vAlign w:val="bottom"/>
          </w:tcPr>
          <w:p w:rsidR="005E15FF" w:rsidRPr="00F37112" w:rsidRDefault="005E15FF" w:rsidP="00823B93">
            <w:pPr>
              <w:rPr>
                <w:rFonts w:ascii="Arial" w:hAnsi="Arial" w:cs="Arial"/>
                <w:color w:val="000000"/>
              </w:rPr>
            </w:pPr>
          </w:p>
        </w:tc>
      </w:tr>
    </w:tbl>
    <w:p w:rsidR="005E15FF" w:rsidRDefault="005E15FF" w:rsidP="009C7BBD">
      <w:pPr>
        <w:jc w:val="both"/>
        <w:rPr>
          <w:rFonts w:ascii="Arial" w:hAnsi="Arial" w:cs="Arial"/>
        </w:rPr>
      </w:pPr>
    </w:p>
    <w:p w:rsidR="005E15FF" w:rsidRDefault="005E15FF" w:rsidP="009C7BBD">
      <w:pPr>
        <w:jc w:val="both"/>
        <w:rPr>
          <w:rFonts w:ascii="Arial" w:hAnsi="Arial" w:cs="Arial"/>
        </w:rPr>
      </w:pPr>
    </w:p>
    <w:p w:rsidR="005E15FF" w:rsidRDefault="005E15FF" w:rsidP="009C7BBD">
      <w:pPr>
        <w:jc w:val="both"/>
        <w:rPr>
          <w:rFonts w:ascii="Arial" w:hAnsi="Arial" w:cs="Arial"/>
        </w:rPr>
      </w:pPr>
    </w:p>
    <w:p w:rsidR="005E15FF" w:rsidRDefault="005E15FF" w:rsidP="009C7BBD">
      <w:pPr>
        <w:jc w:val="both"/>
        <w:rPr>
          <w:rFonts w:ascii="Arial" w:hAnsi="Arial" w:cs="Arial"/>
        </w:rPr>
      </w:pPr>
    </w:p>
    <w:p w:rsidR="005E15FF" w:rsidRDefault="005E15FF" w:rsidP="009C7BBD">
      <w:pPr>
        <w:jc w:val="both"/>
        <w:rPr>
          <w:rFonts w:ascii="Arial" w:hAnsi="Arial" w:cs="Arial"/>
        </w:rPr>
      </w:pPr>
      <w:r>
        <w:rPr>
          <w:rFonts w:ascii="Arial" w:hAnsi="Arial" w:cs="Arial"/>
        </w:rPr>
        <w:t>Kérem a Tisztelt Bizottságot, hogy az előterjesztést megtárgyalni, és a határozati javaslatot elfogadni szíveskedjék.</w:t>
      </w:r>
    </w:p>
    <w:p w:rsidR="005E15FF" w:rsidRDefault="005E15FF" w:rsidP="009C7BBD">
      <w:pPr>
        <w:jc w:val="both"/>
        <w:rPr>
          <w:rFonts w:ascii="Arial" w:hAnsi="Arial" w:cs="Arial"/>
        </w:rPr>
      </w:pPr>
    </w:p>
    <w:p w:rsidR="005E15FF" w:rsidRDefault="005E15FF" w:rsidP="009C7BBD">
      <w:pPr>
        <w:jc w:val="both"/>
        <w:rPr>
          <w:rFonts w:ascii="Arial" w:hAnsi="Arial" w:cs="Arial"/>
        </w:rPr>
      </w:pPr>
      <w:r>
        <w:rPr>
          <w:rFonts w:ascii="Arial" w:hAnsi="Arial" w:cs="Arial"/>
        </w:rPr>
        <w:t>Szombathely, 2015. április  „     ”.</w:t>
      </w:r>
    </w:p>
    <w:p w:rsidR="005E15FF" w:rsidRDefault="005E15FF" w:rsidP="009C7BBD">
      <w:pPr>
        <w:jc w:val="both"/>
        <w:rPr>
          <w:rFonts w:ascii="Arial" w:hAnsi="Arial" w:cs="Arial"/>
        </w:rPr>
      </w:pPr>
    </w:p>
    <w:p w:rsidR="005E15FF" w:rsidRDefault="005E15FF" w:rsidP="009C7BBD">
      <w:pPr>
        <w:jc w:val="center"/>
        <w:rPr>
          <w:rFonts w:ascii="Arial" w:hAnsi="Arial" w:cs="Arial"/>
          <w:b/>
        </w:rPr>
      </w:pPr>
      <w:r>
        <w:rPr>
          <w:rFonts w:ascii="Arial" w:hAnsi="Arial" w:cs="Arial"/>
          <w:b/>
        </w:rPr>
        <w:t xml:space="preserve">                                                                           </w:t>
      </w:r>
    </w:p>
    <w:p w:rsidR="005E15FF" w:rsidRDefault="005E15FF" w:rsidP="009C7BBD">
      <w:pPr>
        <w:jc w:val="center"/>
        <w:rPr>
          <w:rFonts w:ascii="Arial" w:hAnsi="Arial" w:cs="Arial"/>
          <w:b/>
        </w:rPr>
      </w:pPr>
    </w:p>
    <w:p w:rsidR="005E15FF" w:rsidRDefault="005E15FF" w:rsidP="009C7BBD">
      <w:pPr>
        <w:jc w:val="center"/>
        <w:rPr>
          <w:rFonts w:ascii="Arial" w:hAnsi="Arial" w:cs="Arial"/>
        </w:rPr>
      </w:pPr>
      <w:r>
        <w:rPr>
          <w:rFonts w:ascii="Arial" w:hAnsi="Arial" w:cs="Arial"/>
          <w:b/>
        </w:rPr>
        <w:t xml:space="preserve">                                                                                                 /: </w:t>
      </w:r>
      <w:smartTag w:uri="urn:schemas-microsoft-com:office:smarttags" w:element="PersonName">
        <w:smartTagPr>
          <w:attr w:name="ProductID" w:val="Bencsics Enikő"/>
        </w:smartTagPr>
        <w:r>
          <w:rPr>
            <w:rFonts w:ascii="Arial" w:hAnsi="Arial" w:cs="Arial"/>
            <w:b/>
          </w:rPr>
          <w:t>Koczka Tibor</w:t>
        </w:r>
      </w:smartTag>
      <w:r>
        <w:rPr>
          <w:rFonts w:ascii="Arial" w:hAnsi="Arial" w:cs="Arial"/>
          <w:b/>
        </w:rPr>
        <w:t>:/</w:t>
      </w:r>
    </w:p>
    <w:p w:rsidR="005E15FF" w:rsidRDefault="005E15FF" w:rsidP="009C7BBD">
      <w:pPr>
        <w:jc w:val="both"/>
        <w:rPr>
          <w:rFonts w:ascii="Arial" w:hAnsi="Arial" w:cs="Arial"/>
        </w:rPr>
      </w:pPr>
    </w:p>
    <w:p w:rsidR="005E15FF" w:rsidRDefault="005E15FF" w:rsidP="009C7BBD">
      <w:pPr>
        <w:pStyle w:val="Title"/>
        <w:rPr>
          <w:rFonts w:ascii="Arial" w:hAnsi="Arial" w:cs="Arial"/>
        </w:rPr>
      </w:pPr>
    </w:p>
    <w:p w:rsidR="005E15FF" w:rsidRDefault="005E15FF" w:rsidP="00DA5139">
      <w:pPr>
        <w:jc w:val="center"/>
        <w:rPr>
          <w:rFonts w:ascii="Arial" w:hAnsi="Arial" w:cs="Arial"/>
          <w:b/>
          <w:u w:val="single"/>
        </w:rPr>
      </w:pPr>
    </w:p>
    <w:p w:rsidR="005E15FF" w:rsidRDefault="005E15FF" w:rsidP="00DA5139">
      <w:pPr>
        <w:pStyle w:val="Title"/>
        <w:rPr>
          <w:rFonts w:ascii="Arial" w:hAnsi="Arial" w:cs="Arial"/>
        </w:rPr>
      </w:pPr>
    </w:p>
    <w:p w:rsidR="005E15FF" w:rsidRDefault="005E15FF" w:rsidP="00DA5139">
      <w:pPr>
        <w:pStyle w:val="Title"/>
        <w:rPr>
          <w:rFonts w:ascii="Arial" w:hAnsi="Arial" w:cs="Arial"/>
        </w:rPr>
      </w:pPr>
    </w:p>
    <w:p w:rsidR="005E15FF" w:rsidRDefault="005E15FF" w:rsidP="00DA5139">
      <w:pPr>
        <w:pStyle w:val="Title"/>
        <w:rPr>
          <w:rFonts w:ascii="Arial" w:hAnsi="Arial" w:cs="Arial"/>
        </w:rPr>
      </w:pPr>
    </w:p>
    <w:p w:rsidR="005E15FF" w:rsidRDefault="005E15FF" w:rsidP="00DA5139">
      <w:pPr>
        <w:pStyle w:val="Title"/>
        <w:rPr>
          <w:rFonts w:ascii="Arial" w:hAnsi="Arial" w:cs="Arial"/>
        </w:rPr>
      </w:pPr>
      <w:r>
        <w:rPr>
          <w:rFonts w:ascii="Arial" w:hAnsi="Arial" w:cs="Arial"/>
        </w:rPr>
        <w:t>HATÁROZATI JAVASLAT</w:t>
      </w:r>
    </w:p>
    <w:p w:rsidR="005E15FF" w:rsidRDefault="005E15FF" w:rsidP="00DA5139">
      <w:pPr>
        <w:pStyle w:val="Title"/>
        <w:rPr>
          <w:rFonts w:ascii="Arial" w:hAnsi="Arial" w:cs="Arial"/>
          <w:b w:val="0"/>
        </w:rPr>
      </w:pPr>
    </w:p>
    <w:p w:rsidR="005E15FF" w:rsidRDefault="005E15FF" w:rsidP="00DA5139">
      <w:pPr>
        <w:jc w:val="center"/>
        <w:rPr>
          <w:rFonts w:ascii="Arial" w:hAnsi="Arial" w:cs="Arial"/>
          <w:b/>
          <w:u w:val="single"/>
        </w:rPr>
      </w:pPr>
      <w:r>
        <w:rPr>
          <w:rFonts w:ascii="Arial" w:hAnsi="Arial" w:cs="Arial"/>
          <w:b/>
          <w:u w:val="single"/>
        </w:rPr>
        <w:t>…/2015. (IV.15.) OSzB. sz. határozat</w:t>
      </w:r>
    </w:p>
    <w:p w:rsidR="005E15FF" w:rsidRPr="00A32B71" w:rsidRDefault="005E15FF" w:rsidP="00DA5139">
      <w:pPr>
        <w:jc w:val="center"/>
        <w:rPr>
          <w:rFonts w:ascii="Arial" w:hAnsi="Arial" w:cs="Arial"/>
          <w:b/>
          <w:u w:val="single"/>
        </w:rPr>
      </w:pPr>
    </w:p>
    <w:p w:rsidR="005E15FF" w:rsidRPr="00CD1E9E" w:rsidRDefault="005E15FF" w:rsidP="00CD1E9E">
      <w:pPr>
        <w:jc w:val="both"/>
        <w:rPr>
          <w:rFonts w:ascii="Arial" w:hAnsi="Arial" w:cs="Arial"/>
        </w:rPr>
      </w:pPr>
      <w:r w:rsidRPr="00CD1E9E">
        <w:rPr>
          <w:rFonts w:ascii="Arial" w:hAnsi="Arial" w:cs="Arial"/>
        </w:rPr>
        <w:t>Az Oktatási és Szociális Bizottság</w:t>
      </w:r>
      <w:r>
        <w:rPr>
          <w:rFonts w:ascii="Arial" w:hAnsi="Arial" w:cs="Arial"/>
        </w:rPr>
        <w:t xml:space="preserve"> </w:t>
      </w:r>
      <w:r w:rsidRPr="00CD1E9E">
        <w:rPr>
          <w:rFonts w:ascii="Arial" w:hAnsi="Arial" w:cs="Arial"/>
        </w:rPr>
        <w:t xml:space="preserve">az ápolási díjra vonatkozó jelenleg hatályos jogszabályi rendelkezésekről szóló tájékoztatót megtárgyalta, és </w:t>
      </w:r>
      <w:r>
        <w:rPr>
          <w:rFonts w:ascii="Arial" w:hAnsi="Arial" w:cs="Arial"/>
        </w:rPr>
        <w:t xml:space="preserve">azt </w:t>
      </w:r>
      <w:bookmarkStart w:id="0" w:name="_GoBack"/>
      <w:bookmarkEnd w:id="0"/>
      <w:r>
        <w:rPr>
          <w:rFonts w:ascii="Arial" w:hAnsi="Arial" w:cs="Arial"/>
        </w:rPr>
        <w:t>elfogadta.</w:t>
      </w:r>
    </w:p>
    <w:p w:rsidR="005E15FF" w:rsidRPr="00CD1E9E" w:rsidRDefault="005E15FF" w:rsidP="00DA5139">
      <w:pPr>
        <w:pStyle w:val="BodyText"/>
      </w:pPr>
    </w:p>
    <w:p w:rsidR="005E15FF" w:rsidRDefault="005E15FF" w:rsidP="00DA5139">
      <w:pPr>
        <w:ind w:left="1410" w:hanging="1410"/>
        <w:jc w:val="both"/>
        <w:rPr>
          <w:rFonts w:ascii="Arial" w:hAnsi="Arial" w:cs="Arial"/>
        </w:rPr>
      </w:pPr>
      <w:r>
        <w:rPr>
          <w:rFonts w:ascii="Arial" w:hAnsi="Arial" w:cs="Arial"/>
          <w:b/>
          <w:bCs/>
          <w:u w:val="single"/>
        </w:rPr>
        <w:t>Felelősök:</w:t>
      </w:r>
      <w:r>
        <w:rPr>
          <w:rFonts w:ascii="Arial" w:hAnsi="Arial" w:cs="Arial"/>
        </w:rPr>
        <w:tab/>
        <w:t>Rettegi Attila, az Oktatási és Szociális Bizottság elnöke</w:t>
      </w:r>
    </w:p>
    <w:p w:rsidR="005E15FF" w:rsidRDefault="005E15FF" w:rsidP="00DA5139">
      <w:pPr>
        <w:ind w:left="1413"/>
        <w:jc w:val="both"/>
        <w:rPr>
          <w:rFonts w:ascii="Arial" w:hAnsi="Arial" w:cs="Arial"/>
        </w:rPr>
      </w:pPr>
      <w:r>
        <w:rPr>
          <w:rFonts w:ascii="Arial" w:hAnsi="Arial" w:cs="Arial"/>
        </w:rPr>
        <w:tab/>
        <w:t>/a végrehajtás előkészítéséért:</w:t>
      </w:r>
    </w:p>
    <w:p w:rsidR="005E15FF" w:rsidRDefault="005E15FF" w:rsidP="00DA5139">
      <w:pPr>
        <w:ind w:left="1413"/>
        <w:jc w:val="both"/>
        <w:rPr>
          <w:rFonts w:ascii="Arial" w:hAnsi="Arial" w:cs="Arial"/>
        </w:rPr>
      </w:pPr>
      <w:r>
        <w:rPr>
          <w:rFonts w:ascii="Arial" w:hAnsi="Arial" w:cs="Arial"/>
        </w:rPr>
        <w:t xml:space="preserve">dr. </w:t>
      </w:r>
      <w:smartTag w:uri="urn:schemas-microsoft-com:office:smarttags" w:element="PersonName">
        <w:smartTagPr>
          <w:attr w:name="ProductID" w:val="Bencsics Enikő"/>
        </w:smartTagPr>
        <w:r>
          <w:rPr>
            <w:rFonts w:ascii="Arial" w:hAnsi="Arial" w:cs="Arial"/>
          </w:rPr>
          <w:t>Bencsics Enikő</w:t>
        </w:r>
      </w:smartTag>
      <w:r>
        <w:rPr>
          <w:rFonts w:ascii="Arial" w:hAnsi="Arial" w:cs="Arial"/>
        </w:rPr>
        <w:t>, az Egészségügyi és Közszolgálati Osztály vezetője/</w:t>
      </w:r>
      <w:r>
        <w:rPr>
          <w:rFonts w:ascii="Arial" w:hAnsi="Arial" w:cs="Arial"/>
        </w:rPr>
        <w:tab/>
      </w:r>
    </w:p>
    <w:p w:rsidR="005E15FF" w:rsidRDefault="005E15FF" w:rsidP="00DA5139">
      <w:pPr>
        <w:ind w:left="1413"/>
        <w:jc w:val="both"/>
        <w:rPr>
          <w:rFonts w:ascii="Arial" w:hAnsi="Arial" w:cs="Arial"/>
        </w:rPr>
      </w:pPr>
    </w:p>
    <w:p w:rsidR="005E15FF" w:rsidRDefault="005E15FF" w:rsidP="007B1A09">
      <w:pPr>
        <w:jc w:val="both"/>
        <w:rPr>
          <w:rFonts w:ascii="Arial" w:hAnsi="Arial" w:cs="Arial"/>
        </w:rPr>
      </w:pPr>
      <w:r>
        <w:rPr>
          <w:rFonts w:ascii="Arial" w:hAnsi="Arial" w:cs="Arial"/>
          <w:b/>
          <w:bCs/>
          <w:u w:val="single"/>
        </w:rPr>
        <w:t>Határidő:</w:t>
      </w:r>
      <w:r>
        <w:rPr>
          <w:rFonts w:ascii="Arial" w:hAnsi="Arial" w:cs="Arial"/>
        </w:rPr>
        <w:tab/>
        <w:t xml:space="preserve">2015. április 15. </w:t>
      </w:r>
    </w:p>
    <w:p w:rsidR="005E15FF" w:rsidRPr="0032649B" w:rsidRDefault="005E15FF" w:rsidP="00C37F30">
      <w:pPr>
        <w:jc w:val="both"/>
        <w:rPr>
          <w:rFonts w:ascii="Arial" w:hAnsi="Arial" w:cs="Arial"/>
        </w:rPr>
      </w:pPr>
    </w:p>
    <w:sectPr w:rsidR="005E15FF" w:rsidRPr="0032649B" w:rsidSect="00E82F69">
      <w:footerReference w:type="default" r:id="rId6"/>
      <w:headerReference w:type="first" r:id="rId7"/>
      <w:footerReference w:type="first" r:id="rId8"/>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5FF" w:rsidRDefault="005E15FF">
      <w:r>
        <w:separator/>
      </w:r>
    </w:p>
  </w:endnote>
  <w:endnote w:type="continuationSeparator" w:id="1">
    <w:p w:rsidR="005E15FF" w:rsidRDefault="005E1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Segoe UI">
    <w:altName w:val="Arial Unicode MS"/>
    <w:panose1 w:val="00000000000000000000"/>
    <w:charset w:val="EE"/>
    <w:family w:val="swiss"/>
    <w:notTrueType/>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FF" w:rsidRPr="0034130E" w:rsidRDefault="005E15FF" w:rsidP="00EC7C11">
    <w:pPr>
      <w:pStyle w:val="Footer"/>
      <w:jc w:val="center"/>
      <w:rPr>
        <w:rFonts w:ascii="Arial" w:hAnsi="Arial" w:cs="Arial"/>
        <w:sz w:val="20"/>
        <w:szCs w:val="20"/>
      </w:rPr>
    </w:pPr>
    <w:r>
      <w:rPr>
        <w:noProof/>
      </w:rPr>
      <w:pict>
        <v:shapetype id="_x0000_t32" coordsize="21600,21600" o:spt="32" o:oned="t" path="m,l21600,21600e" filled="f">
          <v:path arrowok="t" fillok="f" o:connecttype="none"/>
          <o:lock v:ext="edit" shapetype="t"/>
        </v:shapetype>
        <v:shape id="AutoShape 7" o:spid="_x0000_s2049" type="#_x0000_t32" style="position:absolute;left:0;text-align:left;margin-left:-.65pt;margin-top:-9.65pt;width:481.1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 </w:t>
    </w:r>
    <w:fldSimple w:instr=" NUMPAGES  \* Arabic  \* MERGEFORMAT ">
      <w:r w:rsidRPr="00D42B8A">
        <w:rPr>
          <w:rFonts w:ascii="Arial" w:hAnsi="Arial" w:cs="Arial"/>
          <w:noProof/>
          <w:sz w:val="20"/>
          <w:szCs w:val="20"/>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FF" w:rsidRPr="00356256" w:rsidRDefault="005E15FF" w:rsidP="00356256">
    <w:pPr>
      <w:pStyle w:val="Footer"/>
      <w:tabs>
        <w:tab w:val="clear" w:pos="4536"/>
        <w:tab w:val="left" w:pos="0"/>
      </w:tabs>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6" o:spid="_x0000_s2050" type="#_x0000_t75" alt="SM2016 logó levélpapírra" style="position:absolute;margin-left:0;margin-top:-1.6pt;width:118.5pt;height:48.75pt;z-index:251657216;visibility:visible">
          <v:imagedata r:id="rId1" o:title=""/>
        </v:shape>
      </w:pict>
    </w:r>
  </w:p>
  <w:p w:rsidR="005E15FF" w:rsidRPr="00356256" w:rsidRDefault="005E15FF" w:rsidP="00356256">
    <w:pPr>
      <w:pStyle w:val="Footer"/>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27</w:t>
    </w:r>
  </w:p>
  <w:p w:rsidR="005E15FF" w:rsidRPr="00356256" w:rsidRDefault="005E15FF" w:rsidP="00356256">
    <w:pPr>
      <w:pStyle w:val="Footer"/>
      <w:jc w:val="right"/>
      <w:rPr>
        <w:rFonts w:ascii="Arial" w:hAnsi="Arial" w:cs="Arial"/>
        <w:sz w:val="20"/>
        <w:szCs w:val="20"/>
      </w:rPr>
    </w:pPr>
    <w:r>
      <w:rPr>
        <w:rFonts w:ascii="Arial" w:hAnsi="Arial" w:cs="Arial"/>
        <w:sz w:val="20"/>
        <w:szCs w:val="20"/>
      </w:rPr>
      <w:t>Fax:+36 94/520-341</w:t>
    </w:r>
  </w:p>
  <w:p w:rsidR="005E15FF" w:rsidRPr="00356256" w:rsidRDefault="005E15FF" w:rsidP="00356256">
    <w:pPr>
      <w:pStyle w:val="Footer"/>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5FF" w:rsidRDefault="005E15FF">
      <w:r>
        <w:separator/>
      </w:r>
    </w:p>
  </w:footnote>
  <w:footnote w:type="continuationSeparator" w:id="1">
    <w:p w:rsidR="005E15FF" w:rsidRDefault="005E1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FF" w:rsidRDefault="005E15FF">
    <w:pPr>
      <w:pStyle w:val="Header"/>
      <w:tabs>
        <w:tab w:val="clear" w:pos="4536"/>
        <w:tab w:val="center" w:pos="1800"/>
      </w:tabs>
      <w:ind w:firstLine="1080"/>
      <w:rPr>
        <w:sz w:val="20"/>
      </w:rPr>
    </w:pPr>
    <w:r>
      <w:rPr>
        <w:rFonts w:ascii="Arial" w:hAnsi="Arial" w:cs="Arial"/>
      </w:rPr>
      <w:tab/>
    </w:r>
    <w:r w:rsidRPr="007029E1">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6" type="#_x0000_t75" style="width:66pt;height:79.5pt;visibility:visible">
          <v:imagedata r:id="rId1" o:title=""/>
        </v:shape>
      </w:pict>
    </w:r>
  </w:p>
  <w:p w:rsidR="005E15FF" w:rsidRPr="007F2F31" w:rsidRDefault="005E15FF">
    <w:pPr>
      <w:pStyle w:val="Header"/>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E15FF" w:rsidRPr="00132161" w:rsidRDefault="005E15FF">
    <w:pPr>
      <w:tabs>
        <w:tab w:val="center" w:pos="1800"/>
      </w:tabs>
      <w:rPr>
        <w:rFonts w:ascii="Arial" w:hAnsi="Arial" w:cs="Arial"/>
      </w:rPr>
    </w:pPr>
    <w:r w:rsidRPr="007F2F31">
      <w:rPr>
        <w:rFonts w:ascii="Arial" w:hAnsi="Arial" w:cs="Arial"/>
        <w:smallCaps/>
      </w:rPr>
      <w:tab/>
    </w:r>
    <w:r>
      <w:rPr>
        <w:rFonts w:ascii="Arial" w:hAnsi="Arial" w:cs="Arial"/>
        <w:smallCaps/>
      </w:rPr>
      <w:t>Alpolgármestere</w:t>
    </w:r>
  </w:p>
  <w:p w:rsidR="005E15FF" w:rsidRPr="00132161" w:rsidRDefault="005E15FF">
    <w:pPr>
      <w:pStyle w:val="Header"/>
      <w:rPr>
        <w:rFonts w:ascii="Arial" w:hAnsi="Arial" w:cs="Aria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884"/>
    <w:rsid w:val="00002EB9"/>
    <w:rsid w:val="0005165F"/>
    <w:rsid w:val="00092E1C"/>
    <w:rsid w:val="000B5A86"/>
    <w:rsid w:val="000D5554"/>
    <w:rsid w:val="000E0A26"/>
    <w:rsid w:val="00106C74"/>
    <w:rsid w:val="001071E4"/>
    <w:rsid w:val="00132161"/>
    <w:rsid w:val="00163DA0"/>
    <w:rsid w:val="00187F57"/>
    <w:rsid w:val="001A4648"/>
    <w:rsid w:val="001D43F9"/>
    <w:rsid w:val="001F3146"/>
    <w:rsid w:val="00230E11"/>
    <w:rsid w:val="00253AC7"/>
    <w:rsid w:val="00276372"/>
    <w:rsid w:val="002C5DA2"/>
    <w:rsid w:val="002E0DF5"/>
    <w:rsid w:val="00325973"/>
    <w:rsid w:val="0032649B"/>
    <w:rsid w:val="0034130E"/>
    <w:rsid w:val="00351155"/>
    <w:rsid w:val="00356256"/>
    <w:rsid w:val="00383DF1"/>
    <w:rsid w:val="003A278D"/>
    <w:rsid w:val="00455884"/>
    <w:rsid w:val="00467558"/>
    <w:rsid w:val="004715A1"/>
    <w:rsid w:val="004B38AC"/>
    <w:rsid w:val="004C3174"/>
    <w:rsid w:val="004D3E8C"/>
    <w:rsid w:val="004E28D0"/>
    <w:rsid w:val="00511AFA"/>
    <w:rsid w:val="00527B69"/>
    <w:rsid w:val="00544B5E"/>
    <w:rsid w:val="0057640C"/>
    <w:rsid w:val="005A203C"/>
    <w:rsid w:val="005D274C"/>
    <w:rsid w:val="005E15FF"/>
    <w:rsid w:val="005F19FE"/>
    <w:rsid w:val="00616BAC"/>
    <w:rsid w:val="00622410"/>
    <w:rsid w:val="00632273"/>
    <w:rsid w:val="006475B8"/>
    <w:rsid w:val="006A67CA"/>
    <w:rsid w:val="006B5218"/>
    <w:rsid w:val="007029E1"/>
    <w:rsid w:val="0071797F"/>
    <w:rsid w:val="00752569"/>
    <w:rsid w:val="007B1A09"/>
    <w:rsid w:val="007B2FF9"/>
    <w:rsid w:val="007D143F"/>
    <w:rsid w:val="007F2F31"/>
    <w:rsid w:val="00823B93"/>
    <w:rsid w:val="00824925"/>
    <w:rsid w:val="0083136D"/>
    <w:rsid w:val="008504F1"/>
    <w:rsid w:val="008728D0"/>
    <w:rsid w:val="008C3CDE"/>
    <w:rsid w:val="008E5ABF"/>
    <w:rsid w:val="009071FA"/>
    <w:rsid w:val="009348EA"/>
    <w:rsid w:val="0096279B"/>
    <w:rsid w:val="00991CC6"/>
    <w:rsid w:val="00992804"/>
    <w:rsid w:val="009B5958"/>
    <w:rsid w:val="009C7BBD"/>
    <w:rsid w:val="00A326B9"/>
    <w:rsid w:val="00A32B71"/>
    <w:rsid w:val="00A411F9"/>
    <w:rsid w:val="00A51A66"/>
    <w:rsid w:val="00A7633E"/>
    <w:rsid w:val="00AB7B31"/>
    <w:rsid w:val="00AC3D7B"/>
    <w:rsid w:val="00AD08CD"/>
    <w:rsid w:val="00AE1DC8"/>
    <w:rsid w:val="00B1238C"/>
    <w:rsid w:val="00B40FFC"/>
    <w:rsid w:val="00B610E8"/>
    <w:rsid w:val="00BC46F6"/>
    <w:rsid w:val="00BE370B"/>
    <w:rsid w:val="00BF6B39"/>
    <w:rsid w:val="00C04236"/>
    <w:rsid w:val="00C20790"/>
    <w:rsid w:val="00C37F30"/>
    <w:rsid w:val="00CB7A22"/>
    <w:rsid w:val="00CD1E9E"/>
    <w:rsid w:val="00D15D5A"/>
    <w:rsid w:val="00D34EA4"/>
    <w:rsid w:val="00D42B8A"/>
    <w:rsid w:val="00D54DF8"/>
    <w:rsid w:val="00D645DB"/>
    <w:rsid w:val="00D80DC6"/>
    <w:rsid w:val="00D85E59"/>
    <w:rsid w:val="00DA5139"/>
    <w:rsid w:val="00E66FC2"/>
    <w:rsid w:val="00E816A3"/>
    <w:rsid w:val="00E82F69"/>
    <w:rsid w:val="00EC7C11"/>
    <w:rsid w:val="00EE2811"/>
    <w:rsid w:val="00F06439"/>
    <w:rsid w:val="00F36927"/>
    <w:rsid w:val="00F37112"/>
    <w:rsid w:val="00F97B48"/>
    <w:rsid w:val="00FE79D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139"/>
    <w:rPr>
      <w:sz w:val="24"/>
      <w:szCs w:val="24"/>
    </w:rPr>
  </w:style>
  <w:style w:type="paragraph" w:styleId="Heading3">
    <w:name w:val="heading 3"/>
    <w:basedOn w:val="Normal"/>
    <w:next w:val="Normal"/>
    <w:link w:val="Heading3Char"/>
    <w:uiPriority w:val="99"/>
    <w:qFormat/>
    <w:rsid w:val="00F36927"/>
    <w:pPr>
      <w:keepNext/>
      <w:tabs>
        <w:tab w:val="center" w:pos="1843"/>
      </w:tabs>
      <w:outlineLvl w:val="2"/>
    </w:pPr>
    <w:rPr>
      <w:b/>
      <w:smallCaps/>
    </w:rPr>
  </w:style>
  <w:style w:type="paragraph" w:styleId="Heading4">
    <w:name w:val="heading 4"/>
    <w:basedOn w:val="Normal"/>
    <w:next w:val="Normal"/>
    <w:link w:val="Heading4Char"/>
    <w:uiPriority w:val="99"/>
    <w:qFormat/>
    <w:rsid w:val="00F36927"/>
    <w:pPr>
      <w:keepNext/>
      <w:tabs>
        <w:tab w:val="center" w:pos="1843"/>
      </w:tabs>
      <w:outlineLvl w:val="3"/>
    </w:pPr>
    <w:rPr>
      <w:rFonts w:ascii="Arial" w:hAnsi="Arial" w:cs="Arial"/>
      <w:b/>
      <w:smallCap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C5DA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C5DA2"/>
    <w:rPr>
      <w:rFonts w:ascii="Calibri" w:hAnsi="Calibri" w:cs="Times New Roman"/>
      <w:b/>
      <w:bCs/>
      <w:sz w:val="28"/>
      <w:szCs w:val="28"/>
    </w:rPr>
  </w:style>
  <w:style w:type="paragraph" w:styleId="Header">
    <w:name w:val="header"/>
    <w:basedOn w:val="Normal"/>
    <w:link w:val="HeaderChar"/>
    <w:uiPriority w:val="99"/>
    <w:rsid w:val="00F36927"/>
    <w:pPr>
      <w:tabs>
        <w:tab w:val="center" w:pos="4536"/>
        <w:tab w:val="right" w:pos="9072"/>
      </w:tabs>
    </w:pPr>
  </w:style>
  <w:style w:type="character" w:customStyle="1" w:styleId="HeaderChar">
    <w:name w:val="Header Char"/>
    <w:basedOn w:val="DefaultParagraphFont"/>
    <w:link w:val="Header"/>
    <w:uiPriority w:val="99"/>
    <w:semiHidden/>
    <w:locked/>
    <w:rsid w:val="002C5DA2"/>
    <w:rPr>
      <w:rFonts w:cs="Times New Roman"/>
      <w:sz w:val="24"/>
      <w:szCs w:val="24"/>
    </w:rPr>
  </w:style>
  <w:style w:type="paragraph" w:styleId="Footer">
    <w:name w:val="footer"/>
    <w:basedOn w:val="Normal"/>
    <w:link w:val="FooterChar"/>
    <w:uiPriority w:val="99"/>
    <w:rsid w:val="00F36927"/>
    <w:pPr>
      <w:tabs>
        <w:tab w:val="center" w:pos="4536"/>
        <w:tab w:val="right" w:pos="9072"/>
      </w:tabs>
    </w:pPr>
  </w:style>
  <w:style w:type="character" w:customStyle="1" w:styleId="FooterChar">
    <w:name w:val="Footer Char"/>
    <w:basedOn w:val="DefaultParagraphFont"/>
    <w:link w:val="Footer"/>
    <w:uiPriority w:val="99"/>
    <w:semiHidden/>
    <w:locked/>
    <w:rsid w:val="002C5DA2"/>
    <w:rPr>
      <w:rFonts w:cs="Times New Roman"/>
      <w:sz w:val="24"/>
      <w:szCs w:val="24"/>
    </w:rPr>
  </w:style>
  <w:style w:type="character" w:styleId="PageNumber">
    <w:name w:val="page number"/>
    <w:basedOn w:val="DefaultParagraphFont"/>
    <w:uiPriority w:val="99"/>
    <w:rsid w:val="00F36927"/>
    <w:rPr>
      <w:rFonts w:cs="Times New Roman"/>
    </w:rPr>
  </w:style>
  <w:style w:type="paragraph" w:styleId="BalloonText">
    <w:name w:val="Balloon Text"/>
    <w:basedOn w:val="Normal"/>
    <w:link w:val="BalloonTextChar"/>
    <w:uiPriority w:val="99"/>
    <w:rsid w:val="00325973"/>
    <w:rPr>
      <w:rFonts w:ascii="Segoe UI" w:hAnsi="Segoe UI"/>
      <w:sz w:val="18"/>
      <w:szCs w:val="18"/>
    </w:rPr>
  </w:style>
  <w:style w:type="character" w:customStyle="1" w:styleId="BalloonTextChar">
    <w:name w:val="Balloon Text Char"/>
    <w:basedOn w:val="DefaultParagraphFont"/>
    <w:link w:val="BalloonText"/>
    <w:uiPriority w:val="99"/>
    <w:locked/>
    <w:rsid w:val="00325973"/>
    <w:rPr>
      <w:rFonts w:ascii="Segoe UI" w:hAnsi="Segoe UI" w:cs="Times New Roman"/>
      <w:sz w:val="18"/>
    </w:rPr>
  </w:style>
  <w:style w:type="paragraph" w:styleId="Title">
    <w:name w:val="Title"/>
    <w:basedOn w:val="Normal"/>
    <w:link w:val="TitleChar"/>
    <w:uiPriority w:val="99"/>
    <w:qFormat/>
    <w:rsid w:val="00DA5139"/>
    <w:pPr>
      <w:jc w:val="center"/>
    </w:pPr>
    <w:rPr>
      <w:b/>
      <w:u w:val="single"/>
    </w:rPr>
  </w:style>
  <w:style w:type="character" w:customStyle="1" w:styleId="TitleChar">
    <w:name w:val="Title Char"/>
    <w:basedOn w:val="DefaultParagraphFont"/>
    <w:link w:val="Title"/>
    <w:uiPriority w:val="99"/>
    <w:locked/>
    <w:rsid w:val="00DA5139"/>
    <w:rPr>
      <w:rFonts w:cs="Times New Roman"/>
      <w:b/>
      <w:sz w:val="24"/>
      <w:szCs w:val="24"/>
      <w:u w:val="single"/>
    </w:rPr>
  </w:style>
  <w:style w:type="paragraph" w:styleId="BodyText">
    <w:name w:val="Body Text"/>
    <w:basedOn w:val="Normal"/>
    <w:link w:val="BodyTextChar"/>
    <w:uiPriority w:val="99"/>
    <w:rsid w:val="00DA5139"/>
    <w:pPr>
      <w:jc w:val="both"/>
    </w:pPr>
    <w:rPr>
      <w:rFonts w:ascii="Arial" w:hAnsi="Arial" w:cs="Arial"/>
    </w:rPr>
  </w:style>
  <w:style w:type="character" w:customStyle="1" w:styleId="BodyTextChar">
    <w:name w:val="Body Text Char"/>
    <w:basedOn w:val="DefaultParagraphFont"/>
    <w:link w:val="BodyText"/>
    <w:uiPriority w:val="99"/>
    <w:locked/>
    <w:rsid w:val="00DA5139"/>
    <w:rPr>
      <w:rFonts w:ascii="Arial" w:hAnsi="Arial" w:cs="Arial"/>
      <w:sz w:val="24"/>
      <w:szCs w:val="24"/>
    </w:rPr>
  </w:style>
  <w:style w:type="table" w:styleId="TableGrid">
    <w:name w:val="Table Grid"/>
    <w:basedOn w:val="TableNormal"/>
    <w:uiPriority w:val="99"/>
    <w:rsid w:val="00D34E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4448197">
      <w:marLeft w:val="0"/>
      <w:marRight w:val="0"/>
      <w:marTop w:val="0"/>
      <w:marBottom w:val="0"/>
      <w:divBdr>
        <w:top w:val="none" w:sz="0" w:space="0" w:color="auto"/>
        <w:left w:val="none" w:sz="0" w:space="0" w:color="auto"/>
        <w:bottom w:val="none" w:sz="0" w:space="0" w:color="auto"/>
        <w:right w:val="none" w:sz="0" w:space="0" w:color="auto"/>
      </w:divBdr>
    </w:div>
    <w:div w:id="2084448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aszne.erika\AppData\Local\Microsoft\Windows\Temporary%20Internet%20Files\Content.IE5\18PECXG1\alpolgarmester%20(Koczka%20Tib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alpolgarmester (Koczka Tibor)</Template>
  <TotalTime>146</TotalTime>
  <Pages>4</Pages>
  <Words>942</Words>
  <Characters>6502</Characters>
  <Application>Microsoft Office Outlook</Application>
  <DocSecurity>0</DocSecurity>
  <Lines>0</Lines>
  <Paragraphs>0</Paragraphs>
  <ScaleCrop>false</ScaleCrop>
  <Company>SZMJV Polg. Hiv.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Halászné dr. Józsa Erika</dc:creator>
  <cp:keywords/>
  <dc:description/>
  <cp:lastModifiedBy>Szentkirályi Bernadett</cp:lastModifiedBy>
  <cp:revision>19</cp:revision>
  <cp:lastPrinted>2015-04-10T06:19:00Z</cp:lastPrinted>
  <dcterms:created xsi:type="dcterms:W3CDTF">2015-04-09T13:25:00Z</dcterms:created>
  <dcterms:modified xsi:type="dcterms:W3CDTF">2015-04-10T06:23:00Z</dcterms:modified>
</cp:coreProperties>
</file>