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Default="00960F7C" w:rsidP="000F20C7">
      <w:pPr>
        <w:pStyle w:val="Nincstrkz"/>
      </w:pPr>
      <w:r w:rsidRPr="00E57AA3">
        <w:t>Okirat száma:</w:t>
      </w:r>
    </w:p>
    <w:p w:rsidR="000F20C7" w:rsidRPr="00A06A09" w:rsidRDefault="000F20C7" w:rsidP="000F20C7">
      <w:pPr>
        <w:pStyle w:val="Nincstrkz"/>
        <w:rPr>
          <w:rFonts w:asciiTheme="majorHAnsi" w:hAnsiTheme="maj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A09">
        <w:t xml:space="preserve">   </w:t>
      </w:r>
      <w:bookmarkStart w:id="0" w:name="_GoBack"/>
      <w:bookmarkEnd w:id="0"/>
      <w:r w:rsidRPr="00A06A09">
        <w:rPr>
          <w:rFonts w:asciiTheme="majorHAnsi" w:hAnsiTheme="majorHAnsi"/>
          <w:sz w:val="22"/>
          <w:szCs w:val="22"/>
        </w:rPr>
        <w:t>2.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Pr="00934464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gramEnd"/>
      <w:r w:rsidRPr="00E57AA3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Pr="00E57AA3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Theme="majorHAnsi" w:hAnsiTheme="majorHAnsi"/>
          <w:b/>
          <w:sz w:val="22"/>
          <w:szCs w:val="24"/>
        </w:rPr>
        <w:t xml:space="preserve"> alapján a(z) </w:t>
      </w:r>
      <w:r w:rsidR="00934464" w:rsidRPr="00934464">
        <w:rPr>
          <w:rFonts w:asciiTheme="majorHAnsi" w:hAnsiTheme="majorHAnsi"/>
          <w:b/>
          <w:sz w:val="22"/>
          <w:szCs w:val="24"/>
        </w:rPr>
        <w:t>Pálos Károly Szociális Szolgáltató Központ és Gyermekjóléti Szolgálat</w:t>
      </w:r>
      <w:r w:rsidRPr="00934464">
        <w:rPr>
          <w:rFonts w:asciiTheme="majorHAnsi" w:hAnsiTheme="majorHAnsi"/>
          <w:b/>
          <w:sz w:val="22"/>
          <w:szCs w:val="24"/>
        </w:rPr>
        <w:t xml:space="preserve"> 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34464" w:rsidRPr="00934464">
        <w:rPr>
          <w:rFonts w:asciiTheme="majorHAnsi" w:hAnsiTheme="majorHAnsi"/>
          <w:b/>
          <w:sz w:val="22"/>
          <w:szCs w:val="24"/>
        </w:rPr>
        <w:t xml:space="preserve"> Pálos Károly Szociális Szolgáltató Központ és Gyermekjóléti Szolgálat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CE5F9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A3746">
        <w:rPr>
          <w:rFonts w:asciiTheme="majorHAnsi" w:hAnsiTheme="majorHAnsi"/>
          <w:sz w:val="22"/>
          <w:szCs w:val="22"/>
        </w:rPr>
        <w:t xml:space="preserve"> </w:t>
      </w:r>
      <w:r w:rsidR="00934464" w:rsidRPr="00CE5F94">
        <w:rPr>
          <w:rFonts w:asciiTheme="majorHAnsi" w:hAnsiTheme="majorHAnsi"/>
          <w:b/>
          <w:sz w:val="22"/>
          <w:szCs w:val="22"/>
        </w:rPr>
        <w:t>9700 Szombathely, Széll Kálmán u. 4.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420503" w:rsidRPr="008F1B58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Barátság u. 22.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E5F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1991. október 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 xml:space="preserve">Szombathely Megyei Jogú Város </w:t>
      </w:r>
      <w:r w:rsidR="00CD17E6">
        <w:rPr>
          <w:rFonts w:asciiTheme="majorHAnsi" w:hAnsiTheme="majorHAnsi"/>
          <w:b/>
          <w:sz w:val="22"/>
          <w:szCs w:val="22"/>
        </w:rPr>
        <w:t>Önkormányzat</w:t>
      </w:r>
      <w:r w:rsidR="00132637">
        <w:rPr>
          <w:rFonts w:asciiTheme="majorHAnsi" w:hAnsiTheme="majorHAnsi"/>
          <w:b/>
          <w:sz w:val="22"/>
          <w:szCs w:val="22"/>
        </w:rPr>
        <w:t>a</w:t>
      </w:r>
    </w:p>
    <w:p w:rsidR="00E57AA3" w:rsidRPr="00CE5F9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9700 Szo</w:t>
      </w:r>
      <w:r w:rsidR="007A1493" w:rsidRPr="00CE5F94">
        <w:rPr>
          <w:rFonts w:asciiTheme="majorHAnsi" w:hAnsiTheme="majorHAnsi"/>
          <w:b/>
          <w:sz w:val="22"/>
          <w:szCs w:val="22"/>
        </w:rPr>
        <w:t>mbathely, Kossuth L. u. 1-3.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3020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9908C9" w:rsidRPr="0050416E" w:rsidTr="00420503">
        <w:tc>
          <w:tcPr>
            <w:tcW w:w="288" w:type="pct"/>
            <w:vAlign w:val="center"/>
          </w:tcPr>
          <w:p w:rsidR="002C2407" w:rsidRPr="0050416E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2C2407" w:rsidRPr="0050416E" w:rsidRDefault="009908C9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421140-2-20 Gondozási Központ</w:t>
            </w:r>
            <w:r>
              <w:rPr>
                <w:rFonts w:asciiTheme="majorHAnsi" w:hAnsiTheme="majorHAnsi"/>
                <w:color w:val="FF0000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2C2407" w:rsidRPr="009908C9" w:rsidRDefault="002C240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Wesselényi u. 4.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C55865" w:rsidRDefault="00C55865" w:rsidP="00E141F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55865">
              <w:rPr>
                <w:rFonts w:asciiTheme="majorHAnsi" w:hAnsiTheme="majorHAnsi"/>
                <w:szCs w:val="22"/>
              </w:rPr>
              <w:t>573</w:t>
            </w:r>
            <w:r w:rsidR="00E141FD">
              <w:rPr>
                <w:rFonts w:asciiTheme="majorHAnsi" w:hAnsiTheme="majorHAnsi"/>
                <w:szCs w:val="22"/>
              </w:rPr>
              <w:t>524 Pálos Károly Családsegítő és Gyermekjóléti Szolgálat</w:t>
            </w:r>
          </w:p>
        </w:tc>
        <w:tc>
          <w:tcPr>
            <w:tcW w:w="3020" w:type="pct"/>
          </w:tcPr>
          <w:p w:rsidR="00420503" w:rsidRPr="008F1B58" w:rsidRDefault="00C7291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Domonkos u. 5.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szervének/felügyeleti szervének</w:t>
      </w:r>
    </w:p>
    <w:p w:rsidR="00E57AA3" w:rsidRPr="00F94C5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F94C5C">
        <w:rPr>
          <w:rFonts w:asciiTheme="majorHAnsi" w:hAnsiTheme="majorHAnsi"/>
          <w:b/>
          <w:sz w:val="22"/>
          <w:szCs w:val="22"/>
        </w:rPr>
        <w:t>Szombathely Megyei Jogú Város Közgyűlése</w:t>
      </w:r>
    </w:p>
    <w:p w:rsidR="00C72917" w:rsidRDefault="00E57AA3" w:rsidP="00C729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CA3E3D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2C2407" w:rsidRDefault="002C2407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7499C">
        <w:rPr>
          <w:rFonts w:asciiTheme="majorHAnsi" w:hAnsiTheme="majorHAnsi"/>
          <w:b/>
          <w:sz w:val="22"/>
          <w:szCs w:val="22"/>
        </w:rPr>
        <w:t>Szombathely Megyei Jogú Város Önkormányzata</w:t>
      </w:r>
    </w:p>
    <w:p w:rsidR="00F7499C" w:rsidRP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7499C">
        <w:rPr>
          <w:rFonts w:asciiTheme="majorHAnsi" w:hAnsiTheme="majorHAnsi"/>
          <w:b/>
          <w:sz w:val="22"/>
          <w:szCs w:val="22"/>
        </w:rPr>
        <w:t>Szombathely, Kossuth L. u. 1-3.</w:t>
      </w:r>
    </w:p>
    <w:p w:rsid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50416E" w:rsidRPr="0050416E" w:rsidRDefault="0050416E" w:rsidP="0050416E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161AA1" w:rsidRPr="00460CF2" w:rsidRDefault="00161AA1" w:rsidP="00161AA1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881000</w:t>
            </w:r>
          </w:p>
        </w:tc>
        <w:tc>
          <w:tcPr>
            <w:tcW w:w="3020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Idősek, fogyatékosok szociális ellátása bentlakás nélkül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460CF2" w:rsidRPr="00460CF2" w:rsidRDefault="00460CF2" w:rsidP="00460CF2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</w:t>
      </w:r>
      <w:r w:rsidRPr="00460CF2">
        <w:rPr>
          <w:rFonts w:asciiTheme="majorHAnsi" w:hAnsiTheme="majorHAnsi" w:cs="Arial"/>
          <w:bCs/>
          <w:sz w:val="22"/>
          <w:szCs w:val="22"/>
        </w:rPr>
        <w:lastRenderedPageBreak/>
        <w:t xml:space="preserve">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095020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Iskolarendszeren kívüli egyéb oktatás, képzés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102022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Időskorúak,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átmeneti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102030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Idősek,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nappali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104012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Gyermekek átmeneti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104042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Gyermekjóléti szolgáltatások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106020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Lakásfenntartással, lakhatással összefüggő ellátások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107051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Szociális étkeztetés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Házi segítségnyújtás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107053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Jelzőrendszeres házi segítségnyújtás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107054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Családsegítés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5E12F8" w:rsidRPr="005E12F8" w:rsidRDefault="005E12F8" w:rsidP="005E12F8">
      <w:pPr>
        <w:pStyle w:val="Listaszerbekezds"/>
        <w:tabs>
          <w:tab w:val="left" w:pos="360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E12F8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50416E">
        <w:rPr>
          <w:rFonts w:asciiTheme="majorHAnsi" w:hAnsiTheme="majorHAnsi" w:cs="Arial"/>
          <w:sz w:val="22"/>
          <w:szCs w:val="22"/>
        </w:rPr>
        <w:t>Acsád,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E12F8">
        <w:rPr>
          <w:rFonts w:asciiTheme="majorHAnsi" w:hAnsiTheme="majorHAnsi" w:cs="Arial"/>
          <w:sz w:val="22"/>
          <w:szCs w:val="22"/>
        </w:rPr>
        <w:t xml:space="preserve">Balogunyom, Bucsu, Csempeszkopács, Dozmat, Felsőcsatár, Gencsapáti, Horvátlövő, Ják, Kisunyom, </w:t>
      </w:r>
      <w:r w:rsidRPr="0050416E">
        <w:rPr>
          <w:rFonts w:asciiTheme="majorHAnsi" w:hAnsiTheme="majorHAnsi" w:cs="Arial"/>
          <w:sz w:val="22"/>
          <w:szCs w:val="22"/>
        </w:rPr>
        <w:t xml:space="preserve">Meszlen, </w:t>
      </w:r>
      <w:r w:rsidRPr="005E12F8">
        <w:rPr>
          <w:rFonts w:asciiTheme="majorHAnsi" w:hAnsiTheme="majorHAnsi" w:cs="Arial"/>
          <w:sz w:val="22"/>
          <w:szCs w:val="22"/>
        </w:rPr>
        <w:t xml:space="preserve">Narda, Nárai, </w:t>
      </w:r>
      <w:r w:rsidRPr="0050416E">
        <w:rPr>
          <w:rFonts w:asciiTheme="majorHAnsi" w:hAnsiTheme="majorHAnsi" w:cs="Arial"/>
          <w:sz w:val="22"/>
          <w:szCs w:val="22"/>
        </w:rPr>
        <w:t>Nemesbőd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5E12F8">
        <w:rPr>
          <w:rFonts w:asciiTheme="majorHAnsi" w:hAnsiTheme="majorHAnsi" w:cs="Arial"/>
          <w:sz w:val="22"/>
          <w:szCs w:val="22"/>
        </w:rPr>
        <w:t xml:space="preserve">Perenye, Pornóapáti, Rábatöttös, Rum, Salköveskút, Sé, Sorkikápolna, Sorokpolány, Söpte, Szentpéterfa, Tanakajd, Táplánszentkereszt, Torony, Vasasszonyfa, Vaskeresztes, Vassurány, Vasszécseny, </w:t>
      </w:r>
      <w:r w:rsidRPr="0050416E">
        <w:rPr>
          <w:rFonts w:asciiTheme="majorHAnsi" w:hAnsiTheme="majorHAnsi" w:cs="Arial"/>
          <w:sz w:val="22"/>
          <w:szCs w:val="22"/>
        </w:rPr>
        <w:t>Vát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E12F8">
        <w:rPr>
          <w:rFonts w:asciiTheme="majorHAnsi" w:hAnsiTheme="majorHAnsi" w:cs="Arial"/>
          <w:sz w:val="22"/>
          <w:szCs w:val="22"/>
        </w:rPr>
        <w:t>és Zsennye települések.</w:t>
      </w:r>
    </w:p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44735" w:rsidRPr="00A44735" w:rsidRDefault="00A44735" w:rsidP="00A44735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A44735">
        <w:rPr>
          <w:rFonts w:asciiTheme="majorHAnsi" w:hAnsiTheme="majorHAnsi" w:cs="Arial"/>
          <w:b/>
          <w:bCs/>
          <w:sz w:val="22"/>
          <w:szCs w:val="22"/>
        </w:rPr>
        <w:t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</w:t>
      </w:r>
      <w:r w:rsidRPr="00A4473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44735">
        <w:rPr>
          <w:rFonts w:asciiTheme="majorHAnsi" w:hAnsiTheme="majorHAnsi" w:cs="Arial"/>
          <w:b/>
          <w:bCs/>
          <w:sz w:val="22"/>
          <w:szCs w:val="22"/>
        </w:rPr>
        <w:t xml:space="preserve">előírásai szerint pályázat alapján </w:t>
      </w:r>
      <w:r w:rsidRPr="00A44735">
        <w:rPr>
          <w:rFonts w:asciiTheme="majorHAnsi" w:hAnsiTheme="majorHAnsi" w:cs="Arial"/>
          <w:sz w:val="22"/>
          <w:szCs w:val="22"/>
        </w:rPr>
        <w:t>bízza meg.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1992. évi XXXIII. törvény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6C7C0B" w:rsidRDefault="00A94586" w:rsidP="00132637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1E69CE" w:rsidRDefault="008047B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2013. évi V. </w:t>
            </w:r>
            <w:r w:rsidR="006B64FC">
              <w:rPr>
                <w:rFonts w:asciiTheme="majorHAnsi" w:hAnsiTheme="majorHAnsi"/>
                <w:szCs w:val="22"/>
              </w:rPr>
              <w:t>törvény a Polgári Törvénykönyvről</w:t>
            </w:r>
          </w:p>
        </w:tc>
      </w:tr>
      <w:tr w:rsidR="0050416E" w:rsidRPr="00E57AA3" w:rsidTr="00420503">
        <w:tc>
          <w:tcPr>
            <w:tcW w:w="288" w:type="pct"/>
            <w:vAlign w:val="center"/>
          </w:tcPr>
          <w:p w:rsidR="0050416E" w:rsidRDefault="005041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50416E" w:rsidRPr="006C7C0B" w:rsidRDefault="0050416E" w:rsidP="00132637">
            <w:pPr>
              <w:pStyle w:val="Szvegtrzsbehzssal2"/>
              <w:spacing w:after="0" w:line="240" w:lineRule="auto"/>
              <w:ind w:left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50416E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A94586" w:rsidRPr="00E57AA3" w:rsidTr="00420503">
        <w:tc>
          <w:tcPr>
            <w:tcW w:w="288" w:type="pct"/>
            <w:vAlign w:val="center"/>
          </w:tcPr>
          <w:p w:rsidR="00A94586" w:rsidRDefault="00A9458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lastRenderedPageBreak/>
              <w:t>4</w:t>
            </w:r>
          </w:p>
        </w:tc>
        <w:tc>
          <w:tcPr>
            <w:tcW w:w="1692" w:type="pct"/>
          </w:tcPr>
          <w:p w:rsidR="00A94586" w:rsidRDefault="00A94586" w:rsidP="00E141FD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6C7C0B">
              <w:rPr>
                <w:rFonts w:asciiTheme="majorHAnsi" w:hAnsiTheme="majorHAnsi" w:cs="Arial"/>
                <w:szCs w:val="22"/>
              </w:rPr>
              <w:t xml:space="preserve">közfoglalkoztatási </w:t>
            </w:r>
            <w:r w:rsidR="00E141FD">
              <w:rPr>
                <w:rFonts w:asciiTheme="majorHAnsi" w:hAnsiTheme="majorHAnsi" w:cs="Arial"/>
                <w:szCs w:val="22"/>
              </w:rPr>
              <w:t>jogviszony</w:t>
            </w:r>
          </w:p>
        </w:tc>
        <w:tc>
          <w:tcPr>
            <w:tcW w:w="3020" w:type="pct"/>
          </w:tcPr>
          <w:p w:rsidR="00A94586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szervezeti felépítése és működése:</w:t>
      </w:r>
    </w:p>
    <w:p w:rsidR="00233D35" w:rsidRPr="00233D35" w:rsidRDefault="00233D35" w:rsidP="00233D35">
      <w:pPr>
        <w:pStyle w:val="Listaszerbekezds"/>
        <w:tabs>
          <w:tab w:val="left" w:pos="360"/>
          <w:tab w:val="left" w:pos="1260"/>
          <w:tab w:val="left" w:pos="1980"/>
          <w:tab w:val="left" w:pos="3780"/>
          <w:tab w:val="left" w:pos="7380"/>
        </w:tabs>
        <w:spacing w:before="240"/>
        <w:ind w:left="360"/>
        <w:jc w:val="both"/>
        <w:rPr>
          <w:rFonts w:asciiTheme="majorHAnsi" w:hAnsiTheme="majorHAnsi" w:cs="Arial"/>
          <w:b/>
          <w:sz w:val="22"/>
          <w:szCs w:val="22"/>
        </w:rPr>
      </w:pPr>
      <w:r w:rsidRPr="00233D35">
        <w:rPr>
          <w:rFonts w:asciiTheme="majorHAnsi" w:hAnsiTheme="majorHAnsi" w:cs="Arial"/>
          <w:b/>
          <w:sz w:val="22"/>
          <w:szCs w:val="22"/>
        </w:rPr>
        <w:t>Az intézmény működésének polgármester által jóváhagyott részletes szabályait a Szervezeti és Működési Szabályzat tartalmazza.</w:t>
      </w:r>
    </w:p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D20BE" w:rsidRPr="002A0DDD" w:rsidRDefault="00E57AA3" w:rsidP="00E57AA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466FF6" w:rsidRPr="00466FF6">
        <w:rPr>
          <w:rFonts w:asciiTheme="majorHAnsi" w:hAnsiTheme="majorHAnsi"/>
          <w:b/>
          <w:sz w:val="22"/>
          <w:szCs w:val="24"/>
        </w:rPr>
        <w:t>2015. május 1</w:t>
      </w:r>
      <w:r w:rsidR="00466FF6">
        <w:rPr>
          <w:rFonts w:asciiTheme="majorHAnsi" w:hAnsiTheme="majorHAnsi"/>
          <w:sz w:val="22"/>
          <w:szCs w:val="24"/>
        </w:rPr>
        <w:t>.</w:t>
      </w:r>
      <w:r w:rsidR="003621B0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3621B0"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EC2030" w:rsidRPr="00466FF6">
        <w:rPr>
          <w:rFonts w:asciiTheme="majorHAnsi" w:hAnsiTheme="majorHAnsi"/>
          <w:sz w:val="22"/>
          <w:szCs w:val="24"/>
        </w:rPr>
        <w:t>2014. május 05.</w:t>
      </w:r>
      <w:r w:rsidRPr="00466FF6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EC2030" w:rsidRPr="00466FF6">
        <w:rPr>
          <w:rFonts w:asciiTheme="majorHAnsi" w:hAnsiTheme="majorHAnsi"/>
          <w:sz w:val="22"/>
          <w:szCs w:val="24"/>
        </w:rPr>
        <w:t>61.069-6/2014.</w:t>
      </w:r>
      <w:r w:rsidRPr="00466FF6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:rsidR="00861402" w:rsidRPr="002A0DDD" w:rsidRDefault="00213B5E" w:rsidP="00E57AA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Szombathely, 2015. április „…….”.</w:t>
      </w: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BE066D" w:rsidRDefault="00861402" w:rsidP="00BE066D">
      <w:pPr>
        <w:ind w:left="3545" w:firstLine="709"/>
        <w:rPr>
          <w:b/>
        </w:rPr>
      </w:pPr>
      <w:r w:rsidRPr="00E57AA3">
        <w:rPr>
          <w:rFonts w:asciiTheme="majorHAnsi" w:hAnsiTheme="majorHAnsi"/>
          <w:sz w:val="22"/>
          <w:szCs w:val="24"/>
        </w:rPr>
        <w:t>P.H.</w:t>
      </w:r>
      <w:r w:rsidR="00BE066D" w:rsidRPr="005E4B66">
        <w:rPr>
          <w:b/>
        </w:rPr>
        <w:t xml:space="preserve">                                                                                        </w:t>
      </w:r>
    </w:p>
    <w:p w:rsidR="00BE066D" w:rsidRDefault="00BE066D" w:rsidP="00BE066D">
      <w:pPr>
        <w:rPr>
          <w:b/>
        </w:rPr>
      </w:pPr>
    </w:p>
    <w:p w:rsidR="00BE066D" w:rsidRDefault="00BE066D" w:rsidP="00BE066D">
      <w:pPr>
        <w:rPr>
          <w:b/>
        </w:rPr>
      </w:pPr>
    </w:p>
    <w:p w:rsidR="00BE066D" w:rsidRPr="005E4B66" w:rsidRDefault="00BE066D" w:rsidP="00BE066D">
      <w:pPr>
        <w:ind w:left="4963" w:firstLine="709"/>
        <w:rPr>
          <w:b/>
        </w:rPr>
      </w:pPr>
      <w:r w:rsidRPr="005E4B66">
        <w:rPr>
          <w:b/>
        </w:rPr>
        <w:t xml:space="preserve">/: Dr. Puskás </w:t>
      </w:r>
      <w:proofErr w:type="gramStart"/>
      <w:r w:rsidRPr="005E4B66">
        <w:rPr>
          <w:b/>
        </w:rPr>
        <w:t>Tivadar :</w:t>
      </w:r>
      <w:proofErr w:type="gramEnd"/>
      <w:r w:rsidRPr="005E4B66">
        <w:rPr>
          <w:b/>
        </w:rPr>
        <w:t>/</w:t>
      </w:r>
    </w:p>
    <w:p w:rsidR="00BE066D" w:rsidRPr="005E4B66" w:rsidRDefault="00BE066D" w:rsidP="00BE066D">
      <w:pPr>
        <w:rPr>
          <w:b/>
        </w:rPr>
      </w:pPr>
      <w:r w:rsidRPr="005E4B66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</w:t>
      </w:r>
      <w:r w:rsidRPr="005E4B66">
        <w:rPr>
          <w:b/>
        </w:rPr>
        <w:t xml:space="preserve">               </w:t>
      </w:r>
      <w:proofErr w:type="gramStart"/>
      <w:r w:rsidRPr="005E4B66">
        <w:rPr>
          <w:b/>
        </w:rPr>
        <w:t>polgármester</w:t>
      </w:r>
      <w:proofErr w:type="gramEnd"/>
    </w:p>
    <w:p w:rsidR="00BE066D" w:rsidRPr="005E4B66" w:rsidRDefault="00BE066D" w:rsidP="00BE066D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:rsidR="00BE066D" w:rsidRPr="005E4B66" w:rsidRDefault="00BE066D" w:rsidP="00BE066D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:rsidR="00BE066D" w:rsidRPr="005E4B66" w:rsidRDefault="00BE066D" w:rsidP="00BE066D">
      <w:pPr>
        <w:rPr>
          <w:b/>
        </w:rPr>
      </w:pPr>
      <w:r w:rsidRPr="005E4B66">
        <w:rPr>
          <w:b/>
        </w:rPr>
        <w:t xml:space="preserve">          /: Dr. Károlyi </w:t>
      </w:r>
      <w:proofErr w:type="gramStart"/>
      <w:r w:rsidRPr="005E4B66">
        <w:rPr>
          <w:b/>
        </w:rPr>
        <w:t>Ákos :</w:t>
      </w:r>
      <w:proofErr w:type="gramEnd"/>
      <w:r w:rsidRPr="005E4B66">
        <w:rPr>
          <w:b/>
        </w:rPr>
        <w:t>/</w:t>
      </w:r>
    </w:p>
    <w:p w:rsidR="00BE066D" w:rsidRPr="005E4B66" w:rsidRDefault="00BE066D" w:rsidP="00BE066D">
      <w:pPr>
        <w:rPr>
          <w:b/>
        </w:rPr>
      </w:pPr>
      <w:proofErr w:type="gramStart"/>
      <w:r w:rsidRPr="005E4B66">
        <w:rPr>
          <w:b/>
        </w:rPr>
        <w:t>jegyzői</w:t>
      </w:r>
      <w:proofErr w:type="gramEnd"/>
      <w:r w:rsidRPr="005E4B66">
        <w:rPr>
          <w:b/>
        </w:rPr>
        <w:t xml:space="preserve"> feladatokat ellátó aljegyző</w:t>
      </w:r>
    </w:p>
    <w:p w:rsidR="00BE066D" w:rsidRPr="005E4B66" w:rsidRDefault="00BE066D" w:rsidP="00BE066D">
      <w:pPr>
        <w:rPr>
          <w:rFonts w:asciiTheme="majorHAnsi" w:hAnsiTheme="majorHAnsi"/>
          <w:sz w:val="22"/>
          <w:szCs w:val="24"/>
        </w:rPr>
      </w:pPr>
    </w:p>
    <w:p w:rsidR="00201D72" w:rsidRPr="002A0DDD" w:rsidRDefault="00201D72" w:rsidP="00BE066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40"/>
          <w:szCs w:val="40"/>
        </w:rPr>
      </w:pPr>
    </w:p>
    <w:sectPr w:rsidR="00201D72" w:rsidRPr="002A0DDD" w:rsidSect="001375B6">
      <w:footerReference w:type="default" r:id="rId8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E5" w:rsidRDefault="00997EE5" w:rsidP="00861402">
      <w:r>
        <w:separator/>
      </w:r>
    </w:p>
  </w:endnote>
  <w:endnote w:type="continuationSeparator" w:id="0">
    <w:p w:rsidR="00997EE5" w:rsidRDefault="00997EE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997EE5" w:rsidRPr="009F2115" w:rsidRDefault="004A416E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997EE5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A06A09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E5" w:rsidRDefault="00997EE5" w:rsidP="00861402">
      <w:r>
        <w:separator/>
      </w:r>
    </w:p>
  </w:footnote>
  <w:footnote w:type="continuationSeparator" w:id="0">
    <w:p w:rsidR="00997EE5" w:rsidRDefault="00997EE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D931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7"/>
  </w:num>
  <w:num w:numId="12">
    <w:abstractNumId w:val="5"/>
  </w:num>
  <w:num w:numId="13">
    <w:abstractNumId w:val="17"/>
  </w:num>
  <w:num w:numId="14">
    <w:abstractNumId w:val="1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3125F"/>
    <w:rsid w:val="00055813"/>
    <w:rsid w:val="0006031B"/>
    <w:rsid w:val="0006058A"/>
    <w:rsid w:val="00087671"/>
    <w:rsid w:val="000B6ABC"/>
    <w:rsid w:val="000E4A08"/>
    <w:rsid w:val="000E5193"/>
    <w:rsid w:val="000F20C7"/>
    <w:rsid w:val="00103D06"/>
    <w:rsid w:val="001130D2"/>
    <w:rsid w:val="0011403E"/>
    <w:rsid w:val="00114A3E"/>
    <w:rsid w:val="00116C82"/>
    <w:rsid w:val="00132637"/>
    <w:rsid w:val="001375B6"/>
    <w:rsid w:val="00141015"/>
    <w:rsid w:val="00145E2F"/>
    <w:rsid w:val="00161AA1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13B5E"/>
    <w:rsid w:val="00225359"/>
    <w:rsid w:val="00233D35"/>
    <w:rsid w:val="002406C1"/>
    <w:rsid w:val="00264C3D"/>
    <w:rsid w:val="00270A43"/>
    <w:rsid w:val="00287A35"/>
    <w:rsid w:val="002A0DDD"/>
    <w:rsid w:val="002B0F3B"/>
    <w:rsid w:val="002B7552"/>
    <w:rsid w:val="002C2407"/>
    <w:rsid w:val="002C61A6"/>
    <w:rsid w:val="002E7C12"/>
    <w:rsid w:val="002F0BB2"/>
    <w:rsid w:val="00302430"/>
    <w:rsid w:val="003424E1"/>
    <w:rsid w:val="00351687"/>
    <w:rsid w:val="003621B0"/>
    <w:rsid w:val="003657EC"/>
    <w:rsid w:val="0036687F"/>
    <w:rsid w:val="00380186"/>
    <w:rsid w:val="003B4664"/>
    <w:rsid w:val="003B4891"/>
    <w:rsid w:val="003B7828"/>
    <w:rsid w:val="003D1F9B"/>
    <w:rsid w:val="003D55AD"/>
    <w:rsid w:val="003D6F4F"/>
    <w:rsid w:val="004048E2"/>
    <w:rsid w:val="00416954"/>
    <w:rsid w:val="00420503"/>
    <w:rsid w:val="004236E1"/>
    <w:rsid w:val="004271DA"/>
    <w:rsid w:val="0042792C"/>
    <w:rsid w:val="00442C7B"/>
    <w:rsid w:val="004520EA"/>
    <w:rsid w:val="0045799E"/>
    <w:rsid w:val="00460CF2"/>
    <w:rsid w:val="00466FF6"/>
    <w:rsid w:val="004719E6"/>
    <w:rsid w:val="00486B00"/>
    <w:rsid w:val="00495374"/>
    <w:rsid w:val="004977BD"/>
    <w:rsid w:val="004A416E"/>
    <w:rsid w:val="004E1997"/>
    <w:rsid w:val="004E5BA0"/>
    <w:rsid w:val="0050416E"/>
    <w:rsid w:val="00512AAC"/>
    <w:rsid w:val="0053549D"/>
    <w:rsid w:val="005357F6"/>
    <w:rsid w:val="005640FE"/>
    <w:rsid w:val="00566F3C"/>
    <w:rsid w:val="005711E1"/>
    <w:rsid w:val="005A32DA"/>
    <w:rsid w:val="005A527B"/>
    <w:rsid w:val="005C1EF7"/>
    <w:rsid w:val="005E12F8"/>
    <w:rsid w:val="0062102D"/>
    <w:rsid w:val="0062209D"/>
    <w:rsid w:val="00622B43"/>
    <w:rsid w:val="00632953"/>
    <w:rsid w:val="006541CD"/>
    <w:rsid w:val="00667A84"/>
    <w:rsid w:val="006B050A"/>
    <w:rsid w:val="006B1863"/>
    <w:rsid w:val="006B64FC"/>
    <w:rsid w:val="006C3424"/>
    <w:rsid w:val="006C7C0B"/>
    <w:rsid w:val="006D148A"/>
    <w:rsid w:val="006D16FE"/>
    <w:rsid w:val="006D20BE"/>
    <w:rsid w:val="006E362B"/>
    <w:rsid w:val="006E4FAC"/>
    <w:rsid w:val="006F35EC"/>
    <w:rsid w:val="007020EB"/>
    <w:rsid w:val="00707D76"/>
    <w:rsid w:val="00713BFB"/>
    <w:rsid w:val="00714975"/>
    <w:rsid w:val="007409EE"/>
    <w:rsid w:val="007416DF"/>
    <w:rsid w:val="00753AA6"/>
    <w:rsid w:val="007617EB"/>
    <w:rsid w:val="00764D1D"/>
    <w:rsid w:val="007900F0"/>
    <w:rsid w:val="00791C6B"/>
    <w:rsid w:val="0079542F"/>
    <w:rsid w:val="007A1493"/>
    <w:rsid w:val="007B2EC9"/>
    <w:rsid w:val="007B68DA"/>
    <w:rsid w:val="0080289D"/>
    <w:rsid w:val="008047BD"/>
    <w:rsid w:val="00820868"/>
    <w:rsid w:val="00820E47"/>
    <w:rsid w:val="00823A57"/>
    <w:rsid w:val="00826D21"/>
    <w:rsid w:val="00827F28"/>
    <w:rsid w:val="00835907"/>
    <w:rsid w:val="0085132C"/>
    <w:rsid w:val="00861402"/>
    <w:rsid w:val="00873AAD"/>
    <w:rsid w:val="008856A2"/>
    <w:rsid w:val="008C0F4A"/>
    <w:rsid w:val="008C0F8B"/>
    <w:rsid w:val="008D1BDE"/>
    <w:rsid w:val="008D6FD1"/>
    <w:rsid w:val="008E5C1B"/>
    <w:rsid w:val="008F1B58"/>
    <w:rsid w:val="008F22C2"/>
    <w:rsid w:val="00903F65"/>
    <w:rsid w:val="009213CD"/>
    <w:rsid w:val="009330B7"/>
    <w:rsid w:val="00934464"/>
    <w:rsid w:val="00947D3E"/>
    <w:rsid w:val="00960F7C"/>
    <w:rsid w:val="00985D73"/>
    <w:rsid w:val="00985D85"/>
    <w:rsid w:val="009908C9"/>
    <w:rsid w:val="00991CFB"/>
    <w:rsid w:val="00993DDD"/>
    <w:rsid w:val="00997EE5"/>
    <w:rsid w:val="009A2351"/>
    <w:rsid w:val="009A3F59"/>
    <w:rsid w:val="009A4AF5"/>
    <w:rsid w:val="009A62FF"/>
    <w:rsid w:val="009A6FD1"/>
    <w:rsid w:val="009D28E9"/>
    <w:rsid w:val="009E7F63"/>
    <w:rsid w:val="009F2115"/>
    <w:rsid w:val="009F31C7"/>
    <w:rsid w:val="00A019F1"/>
    <w:rsid w:val="00A06A09"/>
    <w:rsid w:val="00A113F6"/>
    <w:rsid w:val="00A21595"/>
    <w:rsid w:val="00A2304D"/>
    <w:rsid w:val="00A247FF"/>
    <w:rsid w:val="00A322EA"/>
    <w:rsid w:val="00A34AD4"/>
    <w:rsid w:val="00A43DC0"/>
    <w:rsid w:val="00A44735"/>
    <w:rsid w:val="00A46DBA"/>
    <w:rsid w:val="00A74FCF"/>
    <w:rsid w:val="00A755BA"/>
    <w:rsid w:val="00A94586"/>
    <w:rsid w:val="00AA3746"/>
    <w:rsid w:val="00AA46D8"/>
    <w:rsid w:val="00AA5F20"/>
    <w:rsid w:val="00AB6837"/>
    <w:rsid w:val="00AC01C5"/>
    <w:rsid w:val="00AC75EC"/>
    <w:rsid w:val="00AD29AE"/>
    <w:rsid w:val="00AD6D29"/>
    <w:rsid w:val="00AF282A"/>
    <w:rsid w:val="00AF3B6C"/>
    <w:rsid w:val="00B16D44"/>
    <w:rsid w:val="00B17887"/>
    <w:rsid w:val="00B85764"/>
    <w:rsid w:val="00BE066D"/>
    <w:rsid w:val="00BE6DBD"/>
    <w:rsid w:val="00BF3AFD"/>
    <w:rsid w:val="00C227EB"/>
    <w:rsid w:val="00C55865"/>
    <w:rsid w:val="00C70582"/>
    <w:rsid w:val="00C72917"/>
    <w:rsid w:val="00C73CCD"/>
    <w:rsid w:val="00C8030F"/>
    <w:rsid w:val="00C82A3F"/>
    <w:rsid w:val="00C93F42"/>
    <w:rsid w:val="00CA3E3D"/>
    <w:rsid w:val="00CB027A"/>
    <w:rsid w:val="00CB1FE8"/>
    <w:rsid w:val="00CC612C"/>
    <w:rsid w:val="00CD12CF"/>
    <w:rsid w:val="00CD17E6"/>
    <w:rsid w:val="00CD4994"/>
    <w:rsid w:val="00CD6E54"/>
    <w:rsid w:val="00CE5F94"/>
    <w:rsid w:val="00CF04E8"/>
    <w:rsid w:val="00CF28D9"/>
    <w:rsid w:val="00CF568E"/>
    <w:rsid w:val="00D20BE2"/>
    <w:rsid w:val="00D21BF9"/>
    <w:rsid w:val="00D45E38"/>
    <w:rsid w:val="00D5534D"/>
    <w:rsid w:val="00D949D3"/>
    <w:rsid w:val="00DA5D58"/>
    <w:rsid w:val="00DB0A64"/>
    <w:rsid w:val="00DC12CB"/>
    <w:rsid w:val="00DC274F"/>
    <w:rsid w:val="00DD3B99"/>
    <w:rsid w:val="00DD4F72"/>
    <w:rsid w:val="00DE58B6"/>
    <w:rsid w:val="00DF38D7"/>
    <w:rsid w:val="00DF6AF1"/>
    <w:rsid w:val="00E1013C"/>
    <w:rsid w:val="00E141FD"/>
    <w:rsid w:val="00E54A4D"/>
    <w:rsid w:val="00E57AA3"/>
    <w:rsid w:val="00E65A89"/>
    <w:rsid w:val="00E82995"/>
    <w:rsid w:val="00E850A0"/>
    <w:rsid w:val="00E95A2B"/>
    <w:rsid w:val="00EB1EE7"/>
    <w:rsid w:val="00EC2030"/>
    <w:rsid w:val="00ED311E"/>
    <w:rsid w:val="00EE4603"/>
    <w:rsid w:val="00EF2FF7"/>
    <w:rsid w:val="00F028AD"/>
    <w:rsid w:val="00F05E74"/>
    <w:rsid w:val="00F10586"/>
    <w:rsid w:val="00F13CB7"/>
    <w:rsid w:val="00F27D9E"/>
    <w:rsid w:val="00F434D7"/>
    <w:rsid w:val="00F465BA"/>
    <w:rsid w:val="00F54EBD"/>
    <w:rsid w:val="00F567EA"/>
    <w:rsid w:val="00F622CF"/>
    <w:rsid w:val="00F65E88"/>
    <w:rsid w:val="00F729BB"/>
    <w:rsid w:val="00F7499C"/>
    <w:rsid w:val="00F81A8E"/>
    <w:rsid w:val="00F9276A"/>
    <w:rsid w:val="00F92907"/>
    <w:rsid w:val="00F94C5C"/>
    <w:rsid w:val="00F96F3A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FFD3E46D-BC04-4567-A745-07CA104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A44735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447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0F2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8415-06F1-4E51-8E0F-01002B3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19</cp:revision>
  <cp:lastPrinted>2015-03-30T07:09:00Z</cp:lastPrinted>
  <dcterms:created xsi:type="dcterms:W3CDTF">2015-03-26T07:26:00Z</dcterms:created>
  <dcterms:modified xsi:type="dcterms:W3CDTF">2015-04-01T07:18:00Z</dcterms:modified>
</cp:coreProperties>
</file>