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65" w:rsidRPr="00326933" w:rsidRDefault="00211B65" w:rsidP="00211B65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-101600</wp:posOffset>
            </wp:positionV>
            <wp:extent cx="5759450" cy="1472565"/>
            <wp:effectExtent l="19050" t="0" r="0" b="0"/>
            <wp:wrapSquare wrapText="bothSides"/>
            <wp:docPr id="2" name="Kép 2" descr="C:\Users\wooper\Desktop\sav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wooper\Desktop\savar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B65" w:rsidRPr="00326933" w:rsidRDefault="00211B65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1B65" w:rsidRPr="00326933" w:rsidRDefault="00211B65" w:rsidP="00211B6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11B65" w:rsidRPr="00326933" w:rsidRDefault="00211B65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1B65" w:rsidRPr="005714C0" w:rsidRDefault="00211B65" w:rsidP="00211B65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211B65" w:rsidRPr="005714C0" w:rsidRDefault="00211B65" w:rsidP="00211B65">
      <w:pPr>
        <w:jc w:val="center"/>
        <w:rPr>
          <w:rFonts w:ascii="Verdana" w:hAnsi="Verdana"/>
          <w:b/>
          <w:sz w:val="36"/>
          <w:szCs w:val="36"/>
        </w:rPr>
      </w:pPr>
      <w:r w:rsidRPr="005714C0">
        <w:rPr>
          <w:rFonts w:ascii="Verdana" w:hAnsi="Verdana"/>
          <w:b/>
          <w:sz w:val="36"/>
          <w:szCs w:val="36"/>
        </w:rPr>
        <w:t>SAVARIA</w:t>
      </w:r>
      <w:r w:rsidR="00D70DA7" w:rsidRPr="005714C0">
        <w:rPr>
          <w:rFonts w:ascii="Verdana" w:hAnsi="Verdana"/>
          <w:b/>
          <w:sz w:val="36"/>
          <w:szCs w:val="36"/>
        </w:rPr>
        <w:t xml:space="preserve"> </w:t>
      </w:r>
      <w:r w:rsidRPr="005714C0">
        <w:rPr>
          <w:rFonts w:ascii="Verdana" w:hAnsi="Verdana"/>
          <w:b/>
          <w:sz w:val="36"/>
          <w:szCs w:val="36"/>
        </w:rPr>
        <w:t>VÁROSFEJLESZTÉSI NONPROFIT KFT.</w:t>
      </w:r>
    </w:p>
    <w:p w:rsidR="00211B65" w:rsidRPr="005714C0" w:rsidRDefault="00211B65" w:rsidP="00211B65">
      <w:pPr>
        <w:jc w:val="center"/>
        <w:rPr>
          <w:rFonts w:ascii="Verdana" w:hAnsi="Verdana"/>
          <w:b/>
          <w:sz w:val="36"/>
          <w:szCs w:val="36"/>
        </w:rPr>
      </w:pPr>
    </w:p>
    <w:p w:rsidR="00211B65" w:rsidRPr="005714C0" w:rsidRDefault="000C77E1" w:rsidP="00211B65">
      <w:pPr>
        <w:jc w:val="center"/>
        <w:rPr>
          <w:rFonts w:ascii="Verdana" w:hAnsi="Verdana"/>
          <w:b/>
          <w:sz w:val="36"/>
          <w:szCs w:val="36"/>
        </w:rPr>
      </w:pPr>
      <w:r w:rsidRPr="005714C0">
        <w:rPr>
          <w:rFonts w:ascii="Verdana" w:hAnsi="Verdana"/>
          <w:b/>
          <w:sz w:val="36"/>
          <w:szCs w:val="36"/>
        </w:rPr>
        <w:t xml:space="preserve">2013. </w:t>
      </w:r>
      <w:r w:rsidR="00211B65" w:rsidRPr="005714C0">
        <w:rPr>
          <w:rFonts w:ascii="Verdana" w:hAnsi="Verdana"/>
          <w:b/>
          <w:sz w:val="36"/>
          <w:szCs w:val="36"/>
        </w:rPr>
        <w:t>ÉVI MÉRLEGBESZÁMÓLÓJÁHOZ</w:t>
      </w:r>
    </w:p>
    <w:p w:rsidR="00211B65" w:rsidRPr="005714C0" w:rsidRDefault="00211B65" w:rsidP="00211B65">
      <w:pPr>
        <w:jc w:val="center"/>
        <w:rPr>
          <w:rFonts w:ascii="Verdana" w:hAnsi="Verdana"/>
          <w:b/>
          <w:sz w:val="36"/>
          <w:szCs w:val="36"/>
        </w:rPr>
      </w:pPr>
      <w:r w:rsidRPr="005714C0">
        <w:rPr>
          <w:rFonts w:ascii="Verdana" w:hAnsi="Verdana"/>
          <w:b/>
          <w:sz w:val="36"/>
          <w:szCs w:val="36"/>
        </w:rPr>
        <w:t>SZÖVEGES ÉRTÉKELÉS</w:t>
      </w:r>
    </w:p>
    <w:p w:rsidR="00211B65" w:rsidRPr="005714C0" w:rsidRDefault="00211B65" w:rsidP="00211B65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211B65" w:rsidRPr="005714C0" w:rsidRDefault="00211B65" w:rsidP="00211B65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211B65" w:rsidRPr="005714C0" w:rsidRDefault="00211B65" w:rsidP="00211B65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211B65" w:rsidRPr="005714C0" w:rsidRDefault="00211B65" w:rsidP="00211B65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211B65" w:rsidRPr="005714C0" w:rsidRDefault="00211B65" w:rsidP="00211B65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211B65" w:rsidRPr="005714C0" w:rsidRDefault="00211B65" w:rsidP="00211B65">
      <w:pPr>
        <w:rPr>
          <w:rFonts w:ascii="Verdana" w:hAnsi="Verdana"/>
          <w:b/>
          <w:sz w:val="24"/>
          <w:szCs w:val="24"/>
          <w:u w:val="single"/>
        </w:rPr>
      </w:pPr>
    </w:p>
    <w:p w:rsidR="00211B65" w:rsidRPr="005714C0" w:rsidRDefault="000C77E1" w:rsidP="00211B65">
      <w:pPr>
        <w:rPr>
          <w:rFonts w:ascii="Verdana" w:hAnsi="Verdana"/>
          <w:b/>
          <w:sz w:val="24"/>
          <w:szCs w:val="24"/>
        </w:rPr>
      </w:pPr>
      <w:r w:rsidRPr="005714C0">
        <w:rPr>
          <w:rFonts w:ascii="Verdana" w:hAnsi="Verdana"/>
          <w:b/>
          <w:sz w:val="24"/>
          <w:szCs w:val="24"/>
        </w:rPr>
        <w:t>Szombathely, 2014</w:t>
      </w:r>
      <w:r w:rsidR="00211B65" w:rsidRPr="005714C0">
        <w:rPr>
          <w:rFonts w:ascii="Verdana" w:hAnsi="Verdana"/>
          <w:b/>
          <w:sz w:val="24"/>
          <w:szCs w:val="24"/>
        </w:rPr>
        <w:t>.</w:t>
      </w:r>
      <w:r w:rsidR="002B576F">
        <w:rPr>
          <w:rFonts w:ascii="Verdana" w:hAnsi="Verdana"/>
          <w:b/>
          <w:sz w:val="24"/>
          <w:szCs w:val="24"/>
        </w:rPr>
        <w:t>április</w:t>
      </w:r>
      <w:r w:rsidR="003B6FA7">
        <w:rPr>
          <w:rFonts w:ascii="Verdana" w:hAnsi="Verdana"/>
          <w:b/>
          <w:sz w:val="24"/>
          <w:szCs w:val="24"/>
        </w:rPr>
        <w:t xml:space="preserve"> </w:t>
      </w:r>
      <w:r w:rsidR="002B576F">
        <w:rPr>
          <w:rFonts w:ascii="Verdana" w:hAnsi="Verdana"/>
          <w:b/>
          <w:sz w:val="24"/>
          <w:szCs w:val="24"/>
        </w:rPr>
        <w:t>02.</w:t>
      </w:r>
    </w:p>
    <w:p w:rsidR="00211B65" w:rsidRPr="005714C0" w:rsidRDefault="00211B65" w:rsidP="00211B65">
      <w:pPr>
        <w:rPr>
          <w:rFonts w:ascii="Verdana" w:hAnsi="Verdana"/>
          <w:b/>
          <w:sz w:val="24"/>
          <w:szCs w:val="24"/>
        </w:rPr>
      </w:pPr>
      <w:r w:rsidRPr="005714C0">
        <w:rPr>
          <w:rFonts w:ascii="Verdana" w:hAnsi="Verdana"/>
          <w:b/>
          <w:sz w:val="24"/>
          <w:szCs w:val="24"/>
        </w:rPr>
        <w:t xml:space="preserve">                          </w:t>
      </w:r>
    </w:p>
    <w:p w:rsidR="00211B65" w:rsidRPr="005714C0" w:rsidRDefault="00211B65" w:rsidP="00211B65">
      <w:pPr>
        <w:rPr>
          <w:rFonts w:ascii="Verdana" w:hAnsi="Verdana"/>
          <w:b/>
          <w:sz w:val="24"/>
          <w:szCs w:val="24"/>
        </w:rPr>
      </w:pPr>
    </w:p>
    <w:p w:rsidR="00211B65" w:rsidRPr="005714C0" w:rsidRDefault="00211B65" w:rsidP="00211B65">
      <w:pPr>
        <w:tabs>
          <w:tab w:val="left" w:pos="6096"/>
        </w:tabs>
        <w:spacing w:after="0"/>
        <w:rPr>
          <w:rFonts w:ascii="Verdana" w:hAnsi="Verdana"/>
          <w:b/>
          <w:sz w:val="24"/>
          <w:szCs w:val="24"/>
        </w:rPr>
      </w:pPr>
      <w:r w:rsidRPr="005714C0">
        <w:rPr>
          <w:rFonts w:ascii="Verdana" w:hAnsi="Verdana"/>
          <w:b/>
          <w:sz w:val="24"/>
          <w:szCs w:val="24"/>
        </w:rPr>
        <w:tab/>
        <w:t>Benkő János</w:t>
      </w:r>
    </w:p>
    <w:p w:rsidR="00211B65" w:rsidRPr="005714C0" w:rsidRDefault="00211B65" w:rsidP="00211B65">
      <w:pPr>
        <w:tabs>
          <w:tab w:val="left" w:pos="6237"/>
        </w:tabs>
        <w:spacing w:after="0"/>
        <w:rPr>
          <w:rFonts w:ascii="Verdana" w:hAnsi="Verdana"/>
          <w:b/>
          <w:sz w:val="24"/>
          <w:szCs w:val="24"/>
        </w:rPr>
      </w:pPr>
      <w:r w:rsidRPr="005714C0">
        <w:rPr>
          <w:rFonts w:ascii="Verdana" w:hAnsi="Verdana"/>
          <w:b/>
          <w:sz w:val="24"/>
          <w:szCs w:val="24"/>
        </w:rPr>
        <w:tab/>
        <w:t>ügyvezető</w:t>
      </w:r>
    </w:p>
    <w:p w:rsidR="003B6FA7" w:rsidRDefault="00211B65" w:rsidP="003B6FA7">
      <w:pPr>
        <w:rPr>
          <w:rFonts w:ascii="Verdana" w:hAnsi="Verdana"/>
          <w:b/>
          <w:sz w:val="24"/>
          <w:szCs w:val="24"/>
        </w:rPr>
      </w:pPr>
      <w:r w:rsidRPr="005714C0">
        <w:rPr>
          <w:rFonts w:ascii="Verdana" w:hAnsi="Verdana"/>
          <w:b/>
          <w:sz w:val="24"/>
          <w:szCs w:val="24"/>
        </w:rPr>
        <w:lastRenderedPageBreak/>
        <w:tab/>
      </w:r>
      <w:r w:rsidRPr="005714C0">
        <w:rPr>
          <w:rFonts w:ascii="Verdana" w:hAnsi="Verdana"/>
          <w:b/>
          <w:sz w:val="24"/>
          <w:szCs w:val="24"/>
        </w:rPr>
        <w:tab/>
      </w:r>
      <w:r w:rsidRPr="005714C0">
        <w:rPr>
          <w:rFonts w:ascii="Verdana" w:hAnsi="Verdana"/>
          <w:b/>
          <w:sz w:val="24"/>
          <w:szCs w:val="24"/>
        </w:rPr>
        <w:tab/>
      </w:r>
      <w:r w:rsidRPr="005714C0">
        <w:rPr>
          <w:rFonts w:ascii="Verdana" w:hAnsi="Verdana"/>
          <w:b/>
          <w:sz w:val="24"/>
          <w:szCs w:val="24"/>
        </w:rPr>
        <w:tab/>
      </w:r>
    </w:p>
    <w:p w:rsidR="00D053F7" w:rsidRPr="005714C0" w:rsidRDefault="00211B65" w:rsidP="003B6FA7">
      <w:pPr>
        <w:rPr>
          <w:rFonts w:ascii="Verdana" w:hAnsi="Verdana"/>
          <w:b/>
          <w:sz w:val="28"/>
          <w:szCs w:val="24"/>
        </w:rPr>
      </w:pPr>
      <w:r w:rsidRPr="005714C0">
        <w:rPr>
          <w:rFonts w:ascii="Verdana" w:hAnsi="Verdana"/>
          <w:b/>
          <w:sz w:val="28"/>
          <w:szCs w:val="24"/>
        </w:rPr>
        <w:t>A Savaria Városfejlesz</w:t>
      </w:r>
      <w:r w:rsidR="00253794">
        <w:rPr>
          <w:rFonts w:ascii="Verdana" w:hAnsi="Verdana"/>
          <w:b/>
          <w:sz w:val="28"/>
          <w:szCs w:val="24"/>
        </w:rPr>
        <w:t xml:space="preserve">tési Nonprofit Kft. 2013. </w:t>
      </w:r>
      <w:r w:rsidRPr="005714C0">
        <w:rPr>
          <w:rFonts w:ascii="Verdana" w:hAnsi="Verdana"/>
          <w:b/>
          <w:sz w:val="28"/>
          <w:szCs w:val="24"/>
        </w:rPr>
        <w:t xml:space="preserve">év </w:t>
      </w:r>
    </w:p>
    <w:p w:rsidR="00211B65" w:rsidRPr="005714C0" w:rsidRDefault="00211B65" w:rsidP="00D053F7">
      <w:pPr>
        <w:spacing w:after="0"/>
        <w:jc w:val="center"/>
        <w:rPr>
          <w:rFonts w:ascii="Verdana" w:hAnsi="Verdana"/>
          <w:b/>
          <w:color w:val="FF0000"/>
          <w:sz w:val="28"/>
          <w:szCs w:val="24"/>
        </w:rPr>
      </w:pPr>
      <w:r w:rsidRPr="005714C0">
        <w:rPr>
          <w:rFonts w:ascii="Verdana" w:hAnsi="Verdana"/>
          <w:b/>
          <w:sz w:val="28"/>
          <w:szCs w:val="24"/>
        </w:rPr>
        <w:t>pénzügyi – gazdasági tevékenységének szöveges értékelése</w:t>
      </w:r>
    </w:p>
    <w:p w:rsidR="00211B65" w:rsidRPr="005714C0" w:rsidRDefault="00211B65" w:rsidP="00211B65">
      <w:pPr>
        <w:rPr>
          <w:rFonts w:ascii="Verdana" w:hAnsi="Verdana"/>
          <w:b/>
          <w:sz w:val="24"/>
          <w:szCs w:val="24"/>
          <w:u w:val="single"/>
        </w:rPr>
      </w:pPr>
    </w:p>
    <w:p w:rsidR="00211B65" w:rsidRPr="002B576F" w:rsidRDefault="00211B65" w:rsidP="00211B65">
      <w:pPr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>Szombathely Megye Jogú Város Közgyűlése megtárgyalta, és az előterjesztés szerint jóváhagyta a Savaria Városfejlesztési KFT. Alapító Okirat módosítását a 89/2013.(II.28.) számú Közgyűlési határozatával. A társaság gazdálkodási formája Nonprofit szervezetre módosult 2013. év március 19-től. A társaság ügyvezetését Benkő János Úr látja el.</w:t>
      </w:r>
    </w:p>
    <w:p w:rsidR="00211B65" w:rsidRPr="002B576F" w:rsidRDefault="00211B65" w:rsidP="00211B65">
      <w:pPr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A társaság feladata közreműködni SZMJV Integrált Városfejlesztési Stratégiájának a megvalósításában, a teljeskörű fejlesztések lebonyolításában, a már folyamatban lévő kijelölt város rehabilitációs akcióterületeken. Az Alapító fő célja, és érdeke a meglévő közterületek megújítása, új közterületek, zöldfelületek kialakítása, az épület állomány felújítása, a felújításra alkalmatlan épületek és üres telkek egyéb módon történő fejlesztése, korszerű infrastruktúra kialakítása. A társaság az Alapító által kijelölt rehabilitációs akcióterületek teljeskörű fejlesztéséhez kapcsolódó feladatokat látja el. Ennek keretében többek között elkészíti, aktualizálja, és felülvizsgálja az akcióterületi tervet, koordinálja a gazdasági partnereket, az építési tevékenységet, adminisztratív és információs feladatokat.  </w:t>
      </w:r>
    </w:p>
    <w:p w:rsidR="00211B65" w:rsidRPr="002B576F" w:rsidRDefault="00211B65" w:rsidP="00211B65">
      <w:pPr>
        <w:jc w:val="both"/>
        <w:rPr>
          <w:rFonts w:ascii="Verdana" w:hAnsi="Verdana"/>
          <w:sz w:val="24"/>
          <w:szCs w:val="24"/>
        </w:rPr>
      </w:pPr>
    </w:p>
    <w:p w:rsidR="00211B65" w:rsidRPr="002B576F" w:rsidRDefault="00211B65" w:rsidP="00211B65">
      <w:pPr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b/>
          <w:sz w:val="24"/>
          <w:szCs w:val="24"/>
        </w:rPr>
        <w:t>2013. évben megvalósításra került feladatok</w:t>
      </w:r>
    </w:p>
    <w:p w:rsidR="00211B65" w:rsidRPr="002B576F" w:rsidRDefault="00211B65" w:rsidP="00211B65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Társaságunk Szombathely belvárosának funkcióbővítő megújítása </w:t>
      </w:r>
      <w:r w:rsidRPr="002B576F">
        <w:rPr>
          <w:rFonts w:ascii="Verdana" w:hAnsi="Verdana"/>
          <w:i/>
          <w:sz w:val="24"/>
          <w:szCs w:val="24"/>
        </w:rPr>
        <w:t>/pályázati azonosító: NYDOP-3.1.1/B-2009-0003/</w:t>
      </w:r>
      <w:r w:rsidRPr="002B576F">
        <w:rPr>
          <w:rFonts w:ascii="Verdana" w:hAnsi="Verdana"/>
          <w:sz w:val="24"/>
          <w:szCs w:val="24"/>
        </w:rPr>
        <w:t xml:space="preserve"> című pályázat körébe tartozó SZOVA ZRT; SZMJV Önkormányzata, Civil szervezet /Vas megyei TIT; Savaria TAG Egyesület;/ megvalósult projektjeinek végrehajtásához nyújtott projektmenedzsmenti szolgáltatást. A projekt fizikai megvalósulása 2013.év január 25. napján, a pénzügyi Záró elszámolás 2013.év április 25. napján befejeződött. A projekt Záró helyszíni ellenőrzése 2013. június hó 11-12. napon megtörtént, amely kiterjedt a fizikai megvalósítás helyszíni ellenőrzésére, a pénzügyi elszámolások teljeskörű revíziójára, projekt elemenként, konzorciumi partnerenként. A projekt helyszíni vizsgálata során készített jegyzőkönyv a projektmenedzsmenti szolgáltatás vonatkozásában hiányosságot nem rögzített. Ezzel az </w:t>
      </w:r>
      <w:r w:rsidRPr="002B576F">
        <w:rPr>
          <w:rFonts w:ascii="Verdana" w:hAnsi="Verdana"/>
          <w:b/>
          <w:sz w:val="24"/>
          <w:szCs w:val="24"/>
        </w:rPr>
        <w:t>IVS I projekt befejeződött.</w:t>
      </w:r>
    </w:p>
    <w:p w:rsidR="00211B65" w:rsidRPr="002B576F" w:rsidRDefault="00211B65" w:rsidP="00211B65">
      <w:pPr>
        <w:spacing w:after="0"/>
        <w:jc w:val="both"/>
        <w:rPr>
          <w:rFonts w:ascii="Verdana" w:hAnsi="Verdana"/>
          <w:sz w:val="24"/>
          <w:szCs w:val="24"/>
        </w:rPr>
      </w:pPr>
    </w:p>
    <w:p w:rsidR="00211B65" w:rsidRPr="002B576F" w:rsidRDefault="00211B65" w:rsidP="00211B65">
      <w:pPr>
        <w:jc w:val="both"/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b/>
          <w:sz w:val="24"/>
          <w:szCs w:val="24"/>
        </w:rPr>
        <w:t>2013. január 02-án megjelent a NYDOP-3.1.1/B2-12 számú /IVS II./ szociális célú város rehabilitációs</w:t>
      </w:r>
      <w:r w:rsidRPr="002B576F">
        <w:rPr>
          <w:rFonts w:ascii="Verdana" w:hAnsi="Verdana"/>
          <w:sz w:val="24"/>
          <w:szCs w:val="24"/>
        </w:rPr>
        <w:t xml:space="preserve"> pályázat, amelynek összes bekerülési költsége. </w:t>
      </w:r>
      <w:r w:rsidRPr="002B576F">
        <w:rPr>
          <w:rFonts w:ascii="Verdana" w:hAnsi="Verdana"/>
          <w:b/>
          <w:sz w:val="24"/>
          <w:szCs w:val="24"/>
        </w:rPr>
        <w:t>412.481-e.Ft. 100 %</w:t>
      </w:r>
      <w:r w:rsidRPr="002B576F">
        <w:rPr>
          <w:rFonts w:ascii="Verdana" w:hAnsi="Verdana"/>
          <w:sz w:val="24"/>
          <w:szCs w:val="24"/>
        </w:rPr>
        <w:t xml:space="preserve"> -kos támogatás tartalommal, ezáltal önerőt nem igényel. A pályázati összegből projektmenedzsmenti szolgáltatásra 4% számolható el, amelynek összege </w:t>
      </w:r>
      <w:r w:rsidRPr="002B576F">
        <w:rPr>
          <w:rFonts w:ascii="Verdana" w:hAnsi="Verdana"/>
          <w:b/>
          <w:sz w:val="24"/>
          <w:szCs w:val="24"/>
        </w:rPr>
        <w:t>16.000- e. Ft.</w:t>
      </w:r>
    </w:p>
    <w:p w:rsidR="00211B65" w:rsidRPr="002B576F" w:rsidRDefault="00211B65" w:rsidP="00211B65">
      <w:pPr>
        <w:jc w:val="both"/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b/>
          <w:sz w:val="24"/>
          <w:szCs w:val="24"/>
        </w:rPr>
        <w:t xml:space="preserve">A Támogatási Szerződés megkötésének </w:t>
      </w:r>
      <w:r w:rsidR="00CD557E">
        <w:rPr>
          <w:rFonts w:ascii="Verdana" w:hAnsi="Verdana"/>
          <w:b/>
          <w:sz w:val="24"/>
          <w:szCs w:val="24"/>
        </w:rPr>
        <w:t>ideje 2013. év november hónap 7. napja.</w:t>
      </w:r>
    </w:p>
    <w:p w:rsidR="00D053F7" w:rsidRPr="002B576F" w:rsidRDefault="00211B65" w:rsidP="00211B65">
      <w:pPr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 2013. február 07-én megjelent a </w:t>
      </w:r>
      <w:r w:rsidRPr="002B576F">
        <w:rPr>
          <w:rFonts w:ascii="Verdana" w:hAnsi="Verdana"/>
          <w:b/>
          <w:sz w:val="24"/>
          <w:szCs w:val="24"/>
        </w:rPr>
        <w:t>NYDP-3.1.1/B1-13</w:t>
      </w:r>
      <w:r w:rsidRPr="002B576F">
        <w:rPr>
          <w:rFonts w:ascii="Verdana" w:hAnsi="Verdana"/>
          <w:sz w:val="24"/>
          <w:szCs w:val="24"/>
        </w:rPr>
        <w:t xml:space="preserve"> számú funkcióbővítő város rehabilitációs pályázat, </w:t>
      </w:r>
      <w:r w:rsidRPr="002B576F">
        <w:rPr>
          <w:rFonts w:ascii="Verdana" w:hAnsi="Verdana"/>
          <w:b/>
          <w:sz w:val="24"/>
          <w:szCs w:val="24"/>
        </w:rPr>
        <w:t>IVS III</w:t>
      </w:r>
      <w:r w:rsidRPr="002B576F">
        <w:rPr>
          <w:rFonts w:ascii="Verdana" w:hAnsi="Verdana"/>
          <w:sz w:val="24"/>
          <w:szCs w:val="24"/>
        </w:rPr>
        <w:t xml:space="preserve">. A projekt megvalósítási költsége </w:t>
      </w:r>
      <w:r w:rsidRPr="002B576F">
        <w:rPr>
          <w:rFonts w:ascii="Verdana" w:hAnsi="Verdana"/>
          <w:b/>
          <w:sz w:val="24"/>
          <w:szCs w:val="24"/>
        </w:rPr>
        <w:t xml:space="preserve">748.614-e.Ft. </w:t>
      </w:r>
      <w:r w:rsidRPr="002B576F">
        <w:rPr>
          <w:rFonts w:ascii="Verdana" w:hAnsi="Verdana"/>
          <w:sz w:val="24"/>
          <w:szCs w:val="24"/>
        </w:rPr>
        <w:t xml:space="preserve">ugyan csak 100%-os támogatás, tartalommal, önerőre ebben az esetben sem lesz szükség. </w:t>
      </w:r>
    </w:p>
    <w:p w:rsidR="00211B65" w:rsidRPr="002B576F" w:rsidRDefault="00211B65" w:rsidP="00211B65">
      <w:pPr>
        <w:jc w:val="both"/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>A pályázat ebben az esetben is 4% projektmenedzsment szolgáltatási díj elszámolását teszi lehetővé, ennek összege</w:t>
      </w:r>
      <w:r w:rsidR="00D053F7" w:rsidRPr="002B576F">
        <w:rPr>
          <w:rFonts w:ascii="Verdana" w:hAnsi="Verdana"/>
          <w:b/>
          <w:sz w:val="24"/>
          <w:szCs w:val="24"/>
        </w:rPr>
        <w:t xml:space="preserve"> </w:t>
      </w:r>
      <w:r w:rsidRPr="002B576F">
        <w:rPr>
          <w:rFonts w:ascii="Verdana" w:hAnsi="Verdana"/>
          <w:b/>
          <w:sz w:val="24"/>
          <w:szCs w:val="24"/>
        </w:rPr>
        <w:t xml:space="preserve">30.700- e. Ft. </w:t>
      </w:r>
    </w:p>
    <w:p w:rsidR="00211B65" w:rsidRPr="002B576F" w:rsidRDefault="00211B65" w:rsidP="00211B65">
      <w:pPr>
        <w:jc w:val="both"/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b/>
          <w:sz w:val="24"/>
          <w:szCs w:val="24"/>
        </w:rPr>
        <w:t>A Támogatási Szerződés megkötésének id</w:t>
      </w:r>
      <w:r w:rsidR="00CD557E">
        <w:rPr>
          <w:rFonts w:ascii="Verdana" w:hAnsi="Verdana"/>
          <w:b/>
          <w:sz w:val="24"/>
          <w:szCs w:val="24"/>
        </w:rPr>
        <w:t>őpontja 2013. év november hónap 15.</w:t>
      </w:r>
      <w:r w:rsidR="00CB7EFF">
        <w:rPr>
          <w:rFonts w:ascii="Verdana" w:hAnsi="Verdana"/>
          <w:b/>
          <w:sz w:val="24"/>
          <w:szCs w:val="24"/>
        </w:rPr>
        <w:t xml:space="preserve"> </w:t>
      </w:r>
      <w:r w:rsidR="00CD557E">
        <w:rPr>
          <w:rFonts w:ascii="Verdana" w:hAnsi="Verdana"/>
          <w:b/>
          <w:sz w:val="24"/>
          <w:szCs w:val="24"/>
        </w:rPr>
        <w:t>napja.</w:t>
      </w:r>
    </w:p>
    <w:p w:rsidR="00211B65" w:rsidRPr="002B576F" w:rsidRDefault="00211B65" w:rsidP="00211B65">
      <w:pPr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A kiírt pályázatok vonatkozásában /mindkét esetben/, a Pályázati Útmutatóban rögzítésre került az a tény, hogy </w:t>
      </w:r>
      <w:r w:rsidRPr="002B576F">
        <w:rPr>
          <w:rFonts w:ascii="Verdana" w:hAnsi="Verdana"/>
          <w:b/>
          <w:sz w:val="24"/>
          <w:szCs w:val="24"/>
        </w:rPr>
        <w:t>a ROP város rehabilitációs forrás által támogatott projektet ugyanazon városfejlesztő társaság bonyolítsa, hajtsa végre, nem profit orientált gazdasági társaságként.</w:t>
      </w:r>
    </w:p>
    <w:p w:rsidR="00211B65" w:rsidRPr="002B576F" w:rsidRDefault="00211B65" w:rsidP="00211B65">
      <w:pPr>
        <w:jc w:val="both"/>
        <w:rPr>
          <w:rFonts w:ascii="Verdana" w:hAnsi="Verdana"/>
          <w:b/>
          <w:sz w:val="24"/>
          <w:szCs w:val="24"/>
        </w:rPr>
      </w:pPr>
    </w:p>
    <w:p w:rsidR="00211B65" w:rsidRPr="002B576F" w:rsidRDefault="00211B65" w:rsidP="00211B65">
      <w:pPr>
        <w:jc w:val="both"/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b/>
          <w:sz w:val="24"/>
          <w:szCs w:val="24"/>
        </w:rPr>
        <w:t>A társaság tevékenységi területe, piaca</w:t>
      </w:r>
    </w:p>
    <w:p w:rsidR="00211B65" w:rsidRPr="002B576F" w:rsidRDefault="00211B65" w:rsidP="00211B65">
      <w:pPr>
        <w:jc w:val="both"/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A társaság feladata közreműködni Szombathely Megyei Jogú Város Integrált Városfejlesztési, Településfejlesztési Stratégiájának a megvalósításában. A támogatásokkal megvalósuló projektek esetében, a társaság közreműködik a projektek előkészítési és megvalósítási szakaszában felmerülő, kötelezően ellátandó projektmenedzsmenti szolgáltatás, reklám és marketing tevékenységi feladatokban, a nyilvánosság biztosításával, az uniós társfinanszírozási forrás felhasználásával. A társaság szolgáltatásának elsődleges igénybevevője a tulajdonos önkormányzat, amely a társasággal kötött Megbízási Szerződések alapján biztosítja a Kft. mindenkori éves árbevételének 90%-át, a fennmaradó 10%-kos kapacitását pedig, a szabad piacon próbálja lekötni. </w:t>
      </w:r>
    </w:p>
    <w:p w:rsidR="00211B65" w:rsidRPr="002B576F" w:rsidRDefault="00211B65" w:rsidP="00211B65">
      <w:pPr>
        <w:jc w:val="both"/>
        <w:rPr>
          <w:rFonts w:ascii="Verdana" w:hAnsi="Verdana"/>
          <w:b/>
          <w:sz w:val="24"/>
          <w:szCs w:val="24"/>
        </w:rPr>
      </w:pPr>
    </w:p>
    <w:p w:rsidR="00E550A5" w:rsidRDefault="00211B65" w:rsidP="00211B65">
      <w:pPr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lastRenderedPageBreak/>
        <w:t xml:space="preserve"> </w:t>
      </w:r>
    </w:p>
    <w:p w:rsidR="00211B65" w:rsidRPr="002B576F" w:rsidRDefault="00211B65" w:rsidP="00211B65">
      <w:pPr>
        <w:jc w:val="both"/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b/>
          <w:sz w:val="24"/>
          <w:szCs w:val="24"/>
        </w:rPr>
        <w:t>Beruházások, infrastruktúra</w:t>
      </w:r>
    </w:p>
    <w:p w:rsidR="00211B65" w:rsidRPr="002B576F" w:rsidRDefault="00211B65" w:rsidP="00211B65">
      <w:pPr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A Savaria Városfejlesztési Nonprofit Korlátolt Felelősségű Társaság tevékenységét a SZOVA ZRT. kezelésében lévő ingatlanban végzi </w:t>
      </w:r>
      <w:r w:rsidRPr="002B576F">
        <w:rPr>
          <w:rFonts w:ascii="Verdana" w:hAnsi="Verdana"/>
          <w:b/>
          <w:sz w:val="24"/>
          <w:szCs w:val="24"/>
        </w:rPr>
        <w:t>bérletfizetési kötelezettség nélkül.</w:t>
      </w:r>
      <w:r w:rsidRPr="002B576F">
        <w:rPr>
          <w:rFonts w:ascii="Verdana" w:hAnsi="Verdana"/>
          <w:sz w:val="24"/>
          <w:szCs w:val="24"/>
        </w:rPr>
        <w:t xml:space="preserve"> A működéshez szükséges infrastruktúra kialakításához szükséges pénzügyi forrást a társaság részére az Alapító biztosította. A társaság beruházást 2013. évben nem</w:t>
      </w:r>
      <w:r w:rsidR="00345C7C">
        <w:rPr>
          <w:rFonts w:ascii="Verdana" w:hAnsi="Verdana"/>
          <w:sz w:val="24"/>
          <w:szCs w:val="24"/>
        </w:rPr>
        <w:t xml:space="preserve"> valósított meg</w:t>
      </w:r>
      <w:r w:rsidRPr="002B576F">
        <w:rPr>
          <w:rFonts w:ascii="Verdana" w:hAnsi="Verdana"/>
          <w:sz w:val="24"/>
          <w:szCs w:val="24"/>
        </w:rPr>
        <w:t>.</w:t>
      </w:r>
    </w:p>
    <w:p w:rsidR="00211B65" w:rsidRDefault="00211B65" w:rsidP="00211B65">
      <w:pPr>
        <w:jc w:val="both"/>
        <w:rPr>
          <w:rFonts w:ascii="Verdana" w:hAnsi="Verdana"/>
          <w:sz w:val="24"/>
          <w:szCs w:val="24"/>
        </w:rPr>
      </w:pPr>
    </w:p>
    <w:p w:rsidR="00E550A5" w:rsidRPr="002B576F" w:rsidRDefault="00E550A5" w:rsidP="00211B65">
      <w:pPr>
        <w:jc w:val="both"/>
        <w:rPr>
          <w:rFonts w:ascii="Verdana" w:hAnsi="Verdana"/>
          <w:sz w:val="24"/>
          <w:szCs w:val="24"/>
        </w:rPr>
      </w:pPr>
    </w:p>
    <w:p w:rsidR="00211B65" w:rsidRPr="002B576F" w:rsidRDefault="00211B65" w:rsidP="00211B65">
      <w:pPr>
        <w:jc w:val="both"/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b/>
          <w:sz w:val="24"/>
          <w:szCs w:val="24"/>
        </w:rPr>
        <w:t>A KFT.</w:t>
      </w:r>
      <w:r w:rsidR="001D4AA2">
        <w:rPr>
          <w:rFonts w:ascii="Verdana" w:hAnsi="Verdana"/>
          <w:b/>
          <w:sz w:val="24"/>
          <w:szCs w:val="24"/>
        </w:rPr>
        <w:t xml:space="preserve"> </w:t>
      </w:r>
      <w:r w:rsidRPr="002B576F">
        <w:rPr>
          <w:rFonts w:ascii="Verdana" w:hAnsi="Verdana"/>
          <w:b/>
          <w:sz w:val="24"/>
          <w:szCs w:val="24"/>
        </w:rPr>
        <w:t>működése,</w:t>
      </w:r>
      <w:r w:rsidR="001D4AA2">
        <w:rPr>
          <w:rFonts w:ascii="Verdana" w:hAnsi="Verdana"/>
          <w:b/>
          <w:sz w:val="24"/>
          <w:szCs w:val="24"/>
        </w:rPr>
        <w:t xml:space="preserve"> </w:t>
      </w:r>
      <w:r w:rsidRPr="002B576F">
        <w:rPr>
          <w:rFonts w:ascii="Verdana" w:hAnsi="Verdana"/>
          <w:b/>
          <w:sz w:val="24"/>
          <w:szCs w:val="24"/>
        </w:rPr>
        <w:t>humán erőforrása</w:t>
      </w:r>
    </w:p>
    <w:p w:rsidR="00211B65" w:rsidRPr="002B576F" w:rsidRDefault="00211B65" w:rsidP="00211B65">
      <w:pPr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A Savaria Városfejlesztési Nonprofit KFT. a projektmenedzsmenti feladatok végrehajtására az Önkormányzattal, és a gazdálkodó szervezetekkel Megbízási szerződést köt. A szerződésben rögzítésre kerülnek az elvégzendő feladatok, és az elvégzett szolgáltatások ellenértéke. A díjazásra részben a hivatkozott pályázati támogatás, és a közreműködők saját pénzügyi forrása nyújt együttesen fedezetet. </w:t>
      </w:r>
    </w:p>
    <w:p w:rsidR="00211B65" w:rsidRPr="002B576F" w:rsidRDefault="00211B65" w:rsidP="00211B65">
      <w:pPr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>A gazdasági társaság irányítását SZMJV Közgyűlésének 33/2013.(I.31.) Kgy. sz. határozata alapján 2013. február 01. napjától Benkő János ügyvezető látja el.</w:t>
      </w:r>
    </w:p>
    <w:p w:rsidR="00211B65" w:rsidRPr="002B576F" w:rsidRDefault="00211B65" w:rsidP="00211B65">
      <w:pPr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 A társaság január hónapban egy főt projektvezetőként, valamint részmunkaidőben egy főt projekt-asszisztensként foglalkoztatott. 2013. február 04. napjától a társaság létszáma bővült.  Társaságunk jelenleg 5 fő teljes munkaidős, munkavállalót foglalkoztat.</w:t>
      </w:r>
    </w:p>
    <w:p w:rsidR="00211B65" w:rsidRDefault="00211B65" w:rsidP="00211B65">
      <w:pPr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 A</w:t>
      </w:r>
      <w:r w:rsidR="001D4AA2">
        <w:rPr>
          <w:rFonts w:ascii="Verdana" w:hAnsi="Verdana"/>
          <w:sz w:val="24"/>
          <w:szCs w:val="24"/>
        </w:rPr>
        <w:t>z</w:t>
      </w:r>
      <w:r w:rsidRPr="002B576F">
        <w:rPr>
          <w:rFonts w:ascii="Verdana" w:hAnsi="Verdana"/>
          <w:sz w:val="24"/>
          <w:szCs w:val="24"/>
        </w:rPr>
        <w:t xml:space="preserve"> </w:t>
      </w:r>
      <w:r w:rsidR="001D4AA2">
        <w:rPr>
          <w:rFonts w:ascii="Verdana" w:hAnsi="Verdana"/>
          <w:sz w:val="24"/>
          <w:szCs w:val="24"/>
        </w:rPr>
        <w:t xml:space="preserve">elnyert </w:t>
      </w:r>
      <w:r w:rsidRPr="002B576F">
        <w:rPr>
          <w:rFonts w:ascii="Verdana" w:hAnsi="Verdana"/>
          <w:sz w:val="24"/>
          <w:szCs w:val="24"/>
        </w:rPr>
        <w:t>Pályázatok</w:t>
      </w:r>
      <w:r w:rsidR="001D4AA2">
        <w:rPr>
          <w:rFonts w:ascii="Verdana" w:hAnsi="Verdana"/>
          <w:sz w:val="24"/>
          <w:szCs w:val="24"/>
        </w:rPr>
        <w:t xml:space="preserve"> feladat anyagának, a Nemzeti Fejlesztési Ügynökség magas szintű követelményeinek, és elvárásainak</w:t>
      </w:r>
      <w:r w:rsidRPr="002B576F">
        <w:rPr>
          <w:rFonts w:ascii="Verdana" w:hAnsi="Verdana"/>
          <w:sz w:val="24"/>
          <w:szCs w:val="24"/>
        </w:rPr>
        <w:t xml:space="preserve"> ismeretében</w:t>
      </w:r>
      <w:r w:rsidR="001D4AA2">
        <w:rPr>
          <w:rFonts w:ascii="Verdana" w:hAnsi="Verdana"/>
          <w:sz w:val="24"/>
          <w:szCs w:val="24"/>
        </w:rPr>
        <w:t>,</w:t>
      </w:r>
      <w:r w:rsidRPr="002B576F">
        <w:rPr>
          <w:rFonts w:ascii="Verdana" w:hAnsi="Verdana"/>
          <w:sz w:val="24"/>
          <w:szCs w:val="24"/>
        </w:rPr>
        <w:t xml:space="preserve"> munkaerő növekedéssel kell számolni, mivel a Pályázati Útmutatóban a feladatkörök is meghatározásra kerültek.  Előírás 1 fő szociális referens, valamint szükséges 1 fő pályázat író, és közbeszerzési referens foglalkoztatása. </w:t>
      </w:r>
    </w:p>
    <w:p w:rsidR="001D4AA2" w:rsidRDefault="001D4AA2" w:rsidP="00211B65">
      <w:pPr>
        <w:jc w:val="both"/>
        <w:rPr>
          <w:rFonts w:ascii="Verdana" w:hAnsi="Verdana"/>
          <w:sz w:val="24"/>
          <w:szCs w:val="24"/>
        </w:rPr>
      </w:pPr>
    </w:p>
    <w:p w:rsidR="00F86A55" w:rsidRDefault="00F86A55" w:rsidP="00211B65">
      <w:pPr>
        <w:jc w:val="both"/>
        <w:rPr>
          <w:rFonts w:ascii="Verdana" w:hAnsi="Verdana"/>
          <w:sz w:val="24"/>
          <w:szCs w:val="24"/>
        </w:rPr>
      </w:pPr>
    </w:p>
    <w:p w:rsidR="00E550A5" w:rsidRDefault="00E550A5" w:rsidP="00211B65">
      <w:pPr>
        <w:jc w:val="both"/>
        <w:rPr>
          <w:rFonts w:ascii="Verdana" w:hAnsi="Verdana"/>
          <w:sz w:val="24"/>
          <w:szCs w:val="24"/>
        </w:rPr>
      </w:pPr>
    </w:p>
    <w:p w:rsidR="00E550A5" w:rsidRDefault="00E550A5" w:rsidP="00211B65">
      <w:pPr>
        <w:jc w:val="both"/>
        <w:rPr>
          <w:rFonts w:ascii="Verdana" w:hAnsi="Verdana"/>
          <w:sz w:val="24"/>
          <w:szCs w:val="24"/>
        </w:rPr>
      </w:pPr>
    </w:p>
    <w:p w:rsidR="00F86A55" w:rsidRPr="002B576F" w:rsidRDefault="00F86A55" w:rsidP="00211B65">
      <w:pPr>
        <w:jc w:val="both"/>
        <w:rPr>
          <w:rFonts w:ascii="Verdana" w:hAnsi="Verdana"/>
          <w:sz w:val="24"/>
          <w:szCs w:val="24"/>
        </w:rPr>
      </w:pPr>
    </w:p>
    <w:p w:rsidR="00211B65" w:rsidRPr="002B576F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>A társaság tevékenységi feladatainak rövid bemutatását követően, a gazdálkodás pénzügyi hátterét, kívánjuk bemutatni.</w:t>
      </w:r>
    </w:p>
    <w:p w:rsidR="006925D7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>A Savaria Városfejlesztési</w:t>
      </w:r>
      <w:r w:rsidR="001D4AA2">
        <w:rPr>
          <w:rFonts w:ascii="Verdana" w:hAnsi="Verdana"/>
          <w:sz w:val="24"/>
          <w:szCs w:val="24"/>
        </w:rPr>
        <w:t xml:space="preserve"> Nonprofit</w:t>
      </w:r>
      <w:r w:rsidRPr="002B576F">
        <w:rPr>
          <w:rFonts w:ascii="Verdana" w:hAnsi="Verdana"/>
          <w:sz w:val="24"/>
          <w:szCs w:val="24"/>
        </w:rPr>
        <w:t xml:space="preserve"> KFT. 2013. évi Üzleti Tervében az éves</w:t>
      </w:r>
      <w:r w:rsidR="001D4AA2">
        <w:rPr>
          <w:rFonts w:ascii="Verdana" w:hAnsi="Verdana"/>
          <w:sz w:val="24"/>
          <w:szCs w:val="24"/>
        </w:rPr>
        <w:t xml:space="preserve"> tervezett ár</w:t>
      </w:r>
      <w:r w:rsidRPr="002B576F">
        <w:rPr>
          <w:rFonts w:ascii="Verdana" w:hAnsi="Verdana"/>
          <w:sz w:val="24"/>
          <w:szCs w:val="24"/>
        </w:rPr>
        <w:t>bevétel</w:t>
      </w:r>
      <w:r w:rsidR="001D4AA2">
        <w:rPr>
          <w:rFonts w:ascii="Verdana" w:hAnsi="Verdana"/>
          <w:sz w:val="24"/>
          <w:szCs w:val="24"/>
        </w:rPr>
        <w:t>e</w:t>
      </w:r>
      <w:r w:rsidRPr="002B576F">
        <w:rPr>
          <w:rFonts w:ascii="Verdana" w:hAnsi="Verdana"/>
          <w:sz w:val="24"/>
          <w:szCs w:val="24"/>
        </w:rPr>
        <w:t xml:space="preserve"> </w:t>
      </w:r>
      <w:r w:rsidRPr="0009153C">
        <w:rPr>
          <w:rFonts w:ascii="Verdana" w:hAnsi="Verdana"/>
          <w:b/>
          <w:sz w:val="24"/>
          <w:szCs w:val="24"/>
        </w:rPr>
        <w:t>39.522-e.Ft</w:t>
      </w:r>
      <w:r w:rsidRPr="002B576F">
        <w:rPr>
          <w:rFonts w:ascii="Verdana" w:hAnsi="Verdana"/>
          <w:sz w:val="24"/>
          <w:szCs w:val="24"/>
        </w:rPr>
        <w:t>.</w:t>
      </w:r>
      <w:r w:rsidR="001D4AA2">
        <w:rPr>
          <w:rFonts w:ascii="Verdana" w:hAnsi="Verdana"/>
          <w:sz w:val="24"/>
          <w:szCs w:val="24"/>
        </w:rPr>
        <w:t xml:space="preserve"> Ezzel szemben a 2013. évben</w:t>
      </w:r>
      <w:r w:rsidRPr="002B576F">
        <w:rPr>
          <w:rFonts w:ascii="Verdana" w:hAnsi="Verdana"/>
          <w:sz w:val="24"/>
          <w:szCs w:val="24"/>
        </w:rPr>
        <w:t xml:space="preserve"> realizálódott</w:t>
      </w:r>
      <w:r w:rsidR="001D4AA2">
        <w:rPr>
          <w:rFonts w:ascii="Verdana" w:hAnsi="Verdana"/>
          <w:sz w:val="24"/>
          <w:szCs w:val="24"/>
        </w:rPr>
        <w:t xml:space="preserve"> összes</w:t>
      </w:r>
      <w:r w:rsidRPr="002B576F">
        <w:rPr>
          <w:rFonts w:ascii="Verdana" w:hAnsi="Verdana"/>
          <w:sz w:val="24"/>
          <w:szCs w:val="24"/>
        </w:rPr>
        <w:t xml:space="preserve"> bevétel </w:t>
      </w:r>
      <w:r w:rsidR="0009153C" w:rsidRPr="0009153C">
        <w:rPr>
          <w:rFonts w:ascii="Verdana" w:hAnsi="Verdana"/>
          <w:b/>
          <w:sz w:val="24"/>
          <w:szCs w:val="24"/>
        </w:rPr>
        <w:t>62.063</w:t>
      </w:r>
      <w:r w:rsidRPr="002B576F">
        <w:rPr>
          <w:rFonts w:ascii="Verdana" w:hAnsi="Verdana"/>
          <w:b/>
          <w:sz w:val="24"/>
          <w:szCs w:val="24"/>
        </w:rPr>
        <w:t>-e.Ft</w:t>
      </w:r>
      <w:r w:rsidRPr="002B576F">
        <w:rPr>
          <w:rFonts w:ascii="Verdana" w:hAnsi="Verdana"/>
          <w:sz w:val="24"/>
          <w:szCs w:val="24"/>
        </w:rPr>
        <w:t xml:space="preserve">. Ezen összeg </w:t>
      </w:r>
      <w:r w:rsidR="009F0A14">
        <w:rPr>
          <w:rFonts w:ascii="Verdana" w:hAnsi="Verdana"/>
          <w:sz w:val="24"/>
          <w:szCs w:val="24"/>
        </w:rPr>
        <w:t>árbevételből, és egyéb bevételből</w:t>
      </w:r>
      <w:r w:rsidR="0009153C">
        <w:rPr>
          <w:rFonts w:ascii="Verdana" w:hAnsi="Verdana"/>
          <w:sz w:val="24"/>
          <w:szCs w:val="24"/>
        </w:rPr>
        <w:t xml:space="preserve"> </w:t>
      </w:r>
      <w:r w:rsidRPr="002B576F">
        <w:rPr>
          <w:rFonts w:ascii="Verdana" w:hAnsi="Verdana"/>
          <w:sz w:val="24"/>
          <w:szCs w:val="24"/>
        </w:rPr>
        <w:t>tevődik össze</w:t>
      </w:r>
      <w:r w:rsidR="009F0A14">
        <w:rPr>
          <w:rFonts w:ascii="Verdana" w:hAnsi="Verdana"/>
          <w:sz w:val="24"/>
          <w:szCs w:val="24"/>
        </w:rPr>
        <w:t xml:space="preserve">. A </w:t>
      </w:r>
      <w:r w:rsidR="009F0A14" w:rsidRPr="009F0A14">
        <w:rPr>
          <w:rFonts w:ascii="Verdana" w:hAnsi="Verdana"/>
          <w:b/>
          <w:sz w:val="24"/>
          <w:szCs w:val="24"/>
        </w:rPr>
        <w:t>20.276-e.</w:t>
      </w:r>
      <w:r w:rsidR="00E550A5">
        <w:rPr>
          <w:rFonts w:ascii="Verdana" w:hAnsi="Verdana"/>
          <w:b/>
          <w:sz w:val="24"/>
          <w:szCs w:val="24"/>
        </w:rPr>
        <w:t xml:space="preserve"> </w:t>
      </w:r>
      <w:r w:rsidR="009F0A14" w:rsidRPr="009F0A14">
        <w:rPr>
          <w:rFonts w:ascii="Verdana" w:hAnsi="Verdana"/>
          <w:b/>
          <w:sz w:val="24"/>
          <w:szCs w:val="24"/>
        </w:rPr>
        <w:t>Ft</w:t>
      </w:r>
      <w:r w:rsidR="009F0A14">
        <w:rPr>
          <w:rFonts w:ascii="Verdana" w:hAnsi="Verdana"/>
          <w:sz w:val="24"/>
          <w:szCs w:val="24"/>
        </w:rPr>
        <w:t>. összegű árbevétel</w:t>
      </w:r>
      <w:r w:rsidR="00E550A5">
        <w:rPr>
          <w:rFonts w:ascii="Verdana" w:hAnsi="Verdana"/>
          <w:sz w:val="24"/>
          <w:szCs w:val="24"/>
        </w:rPr>
        <w:t xml:space="preserve"> </w:t>
      </w:r>
      <w:r w:rsidR="0009153C">
        <w:rPr>
          <w:rFonts w:ascii="Verdana" w:hAnsi="Verdana"/>
          <w:sz w:val="24"/>
          <w:szCs w:val="24"/>
        </w:rPr>
        <w:t xml:space="preserve">a </w:t>
      </w:r>
      <w:r w:rsidR="00A87E13">
        <w:rPr>
          <w:rFonts w:ascii="Verdana" w:hAnsi="Verdana"/>
          <w:sz w:val="24"/>
          <w:szCs w:val="24"/>
        </w:rPr>
        <w:t xml:space="preserve">következő elemekből tevődik össze: nevezetesen; a </w:t>
      </w:r>
      <w:r w:rsidR="0009153C">
        <w:rPr>
          <w:rFonts w:ascii="Verdana" w:hAnsi="Verdana"/>
          <w:sz w:val="24"/>
          <w:szCs w:val="24"/>
        </w:rPr>
        <w:t>2012. évről áthúzódó</w:t>
      </w:r>
      <w:r w:rsidRPr="002B576F">
        <w:rPr>
          <w:rFonts w:ascii="Verdana" w:hAnsi="Verdana"/>
          <w:sz w:val="24"/>
          <w:szCs w:val="24"/>
        </w:rPr>
        <w:t xml:space="preserve"> </w:t>
      </w:r>
      <w:r w:rsidR="0009153C" w:rsidRPr="00192DDC">
        <w:rPr>
          <w:rFonts w:ascii="Verdana" w:hAnsi="Verdana"/>
          <w:b/>
          <w:sz w:val="24"/>
          <w:szCs w:val="24"/>
        </w:rPr>
        <w:t>IVS I. projekt</w:t>
      </w:r>
      <w:r w:rsidR="0009153C">
        <w:rPr>
          <w:rFonts w:ascii="Verdana" w:hAnsi="Verdana"/>
          <w:sz w:val="24"/>
          <w:szCs w:val="24"/>
        </w:rPr>
        <w:t xml:space="preserve"> megvalósulásával kapcsolatosan megjelent /üzleti, lakossági, turisztikai célú/ kiadvány </w:t>
      </w:r>
      <w:r w:rsidR="0009153C" w:rsidRPr="00192DDC">
        <w:rPr>
          <w:rFonts w:ascii="Verdana" w:hAnsi="Verdana"/>
          <w:b/>
          <w:sz w:val="24"/>
          <w:szCs w:val="24"/>
        </w:rPr>
        <w:t>1.236</w:t>
      </w:r>
      <w:r w:rsidRPr="00192DDC">
        <w:rPr>
          <w:rFonts w:ascii="Verdana" w:hAnsi="Verdana"/>
          <w:b/>
          <w:sz w:val="24"/>
          <w:szCs w:val="24"/>
        </w:rPr>
        <w:t>-e.Ft.</w:t>
      </w:r>
      <w:r w:rsidR="001340A7">
        <w:rPr>
          <w:rFonts w:ascii="Verdana" w:hAnsi="Verdana"/>
          <w:sz w:val="24"/>
          <w:szCs w:val="24"/>
        </w:rPr>
        <w:t>;</w:t>
      </w:r>
      <w:r w:rsidR="009F0A14">
        <w:rPr>
          <w:rFonts w:ascii="Verdana" w:hAnsi="Verdana"/>
          <w:sz w:val="24"/>
          <w:szCs w:val="24"/>
        </w:rPr>
        <w:t xml:space="preserve"> </w:t>
      </w:r>
    </w:p>
    <w:p w:rsidR="0021534A" w:rsidRDefault="001340A7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az </w:t>
      </w:r>
      <w:r w:rsidRPr="00192DDC">
        <w:rPr>
          <w:rFonts w:ascii="Verdana" w:hAnsi="Verdana"/>
          <w:b/>
          <w:sz w:val="24"/>
          <w:szCs w:val="24"/>
        </w:rPr>
        <w:t>IVS III. projekt</w:t>
      </w:r>
      <w:r>
        <w:rPr>
          <w:rFonts w:ascii="Verdana" w:hAnsi="Verdana"/>
          <w:sz w:val="24"/>
          <w:szCs w:val="24"/>
        </w:rPr>
        <w:t xml:space="preserve"> tervezési feladatainak elvégzéséből származó</w:t>
      </w:r>
      <w:r w:rsidR="00192DDC">
        <w:rPr>
          <w:rFonts w:ascii="Verdana" w:hAnsi="Verdana"/>
          <w:sz w:val="24"/>
          <w:szCs w:val="24"/>
        </w:rPr>
        <w:t xml:space="preserve"> </w:t>
      </w:r>
      <w:r w:rsidR="00192DDC" w:rsidRPr="00192DDC">
        <w:rPr>
          <w:rFonts w:ascii="Verdana" w:hAnsi="Verdana"/>
          <w:b/>
          <w:sz w:val="24"/>
          <w:szCs w:val="24"/>
        </w:rPr>
        <w:t>17.850-e.Ft</w:t>
      </w:r>
      <w:r w:rsidR="00192DDC">
        <w:rPr>
          <w:rFonts w:ascii="Verdana" w:hAnsi="Verdana"/>
          <w:sz w:val="24"/>
          <w:szCs w:val="24"/>
        </w:rPr>
        <w:t>.;</w:t>
      </w:r>
      <w:r>
        <w:rPr>
          <w:rFonts w:ascii="Verdana" w:hAnsi="Verdana"/>
          <w:sz w:val="24"/>
          <w:szCs w:val="24"/>
        </w:rPr>
        <w:t xml:space="preserve"> műszaki ellenőrzés </w:t>
      </w:r>
      <w:r w:rsidR="00E550A5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Kisfaludy</w:t>
      </w:r>
      <w:r w:rsidR="00192DDC">
        <w:rPr>
          <w:rFonts w:ascii="Verdana" w:hAnsi="Verdana"/>
          <w:sz w:val="24"/>
          <w:szCs w:val="24"/>
        </w:rPr>
        <w:t xml:space="preserve"> u</w:t>
      </w:r>
      <w:r>
        <w:rPr>
          <w:rFonts w:ascii="Verdana" w:hAnsi="Verdana"/>
          <w:sz w:val="24"/>
          <w:szCs w:val="24"/>
        </w:rPr>
        <w:t>./</w:t>
      </w:r>
      <w:r w:rsidRPr="00192DDC">
        <w:rPr>
          <w:rFonts w:ascii="Verdana" w:hAnsi="Verdana"/>
          <w:b/>
          <w:sz w:val="24"/>
          <w:szCs w:val="24"/>
        </w:rPr>
        <w:t>1.190-e.Ft</w:t>
      </w:r>
      <w:r>
        <w:rPr>
          <w:rFonts w:ascii="Verdana" w:hAnsi="Verdana"/>
          <w:sz w:val="24"/>
          <w:szCs w:val="24"/>
        </w:rPr>
        <w:t>.</w:t>
      </w:r>
      <w:r w:rsidR="009F0A14">
        <w:rPr>
          <w:rFonts w:ascii="Verdana" w:hAnsi="Verdana"/>
          <w:sz w:val="24"/>
          <w:szCs w:val="24"/>
        </w:rPr>
        <w:t xml:space="preserve"> </w:t>
      </w:r>
    </w:p>
    <w:p w:rsidR="0021534A" w:rsidRDefault="006925D7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 w:rsidR="00192DDC" w:rsidRPr="00192DDC">
        <w:rPr>
          <w:rFonts w:ascii="Verdana" w:hAnsi="Verdana"/>
          <w:b/>
          <w:sz w:val="24"/>
          <w:szCs w:val="24"/>
        </w:rPr>
        <w:t>41.787-e</w:t>
      </w:r>
      <w:r w:rsidR="00192DDC">
        <w:rPr>
          <w:rFonts w:ascii="Verdana" w:hAnsi="Verdana"/>
          <w:sz w:val="24"/>
          <w:szCs w:val="24"/>
        </w:rPr>
        <w:t>.Ft</w:t>
      </w:r>
      <w:r>
        <w:rPr>
          <w:rFonts w:ascii="Verdana" w:hAnsi="Verdana"/>
          <w:sz w:val="24"/>
          <w:szCs w:val="24"/>
        </w:rPr>
        <w:t>.</w:t>
      </w:r>
      <w:r w:rsidR="00192DDC">
        <w:rPr>
          <w:rFonts w:ascii="Verdana" w:hAnsi="Verdana"/>
          <w:sz w:val="24"/>
          <w:szCs w:val="24"/>
        </w:rPr>
        <w:t xml:space="preserve"> összegű egyéb bevétel</w:t>
      </w:r>
      <w:r>
        <w:rPr>
          <w:rFonts w:ascii="Verdana" w:hAnsi="Verdana"/>
          <w:sz w:val="24"/>
          <w:szCs w:val="24"/>
        </w:rPr>
        <w:t xml:space="preserve"> </w:t>
      </w:r>
      <w:r w:rsidR="00211B65" w:rsidRPr="002B576F">
        <w:rPr>
          <w:rFonts w:ascii="Verdana" w:hAnsi="Verdana"/>
          <w:sz w:val="24"/>
          <w:szCs w:val="24"/>
        </w:rPr>
        <w:t>az Alapító által jóváhagyott</w:t>
      </w:r>
      <w:r>
        <w:rPr>
          <w:rFonts w:ascii="Verdana" w:hAnsi="Verdana"/>
          <w:sz w:val="24"/>
          <w:szCs w:val="24"/>
        </w:rPr>
        <w:t xml:space="preserve"> </w:t>
      </w:r>
      <w:r w:rsidR="00192DDC" w:rsidRPr="00192DDC">
        <w:rPr>
          <w:rFonts w:ascii="Verdana" w:hAnsi="Verdana"/>
          <w:b/>
          <w:sz w:val="24"/>
          <w:szCs w:val="24"/>
        </w:rPr>
        <w:t>38.522</w:t>
      </w:r>
      <w:r w:rsidR="00211B65" w:rsidRPr="00192DDC">
        <w:rPr>
          <w:rFonts w:ascii="Verdana" w:hAnsi="Verdana"/>
          <w:b/>
          <w:sz w:val="24"/>
          <w:szCs w:val="24"/>
        </w:rPr>
        <w:t>-e.Ft</w:t>
      </w:r>
      <w:r w:rsidR="00211B65" w:rsidRPr="002B576F">
        <w:rPr>
          <w:rFonts w:ascii="Verdana" w:hAnsi="Verdana"/>
          <w:sz w:val="24"/>
          <w:szCs w:val="24"/>
        </w:rPr>
        <w:t>.</w:t>
      </w:r>
      <w:r w:rsidR="00192DDC">
        <w:rPr>
          <w:rFonts w:ascii="Verdana" w:hAnsi="Verdana"/>
          <w:sz w:val="24"/>
          <w:szCs w:val="24"/>
        </w:rPr>
        <w:t>; összegű támogatásból, és a</w:t>
      </w:r>
      <w:r>
        <w:rPr>
          <w:rFonts w:ascii="Verdana" w:hAnsi="Verdana"/>
          <w:sz w:val="24"/>
          <w:szCs w:val="24"/>
        </w:rPr>
        <w:t xml:space="preserve"> nyertes pályázatok</w:t>
      </w:r>
      <w:r w:rsidR="00C96B78">
        <w:rPr>
          <w:rFonts w:ascii="Verdana" w:hAnsi="Verdana"/>
          <w:sz w:val="24"/>
          <w:szCs w:val="24"/>
        </w:rPr>
        <w:t xml:space="preserve"> </w:t>
      </w:r>
      <w:r w:rsidR="00C96B78" w:rsidRPr="00C96B78">
        <w:rPr>
          <w:rFonts w:ascii="Verdana" w:hAnsi="Verdana"/>
          <w:b/>
          <w:sz w:val="24"/>
          <w:szCs w:val="24"/>
        </w:rPr>
        <w:t>3.265-e.Ft</w:t>
      </w:r>
      <w:r w:rsidR="00C96B78">
        <w:rPr>
          <w:rFonts w:ascii="Verdana" w:hAnsi="Verdana"/>
          <w:sz w:val="24"/>
          <w:szCs w:val="24"/>
        </w:rPr>
        <w:t>. összegű</w:t>
      </w:r>
      <w:r>
        <w:rPr>
          <w:rFonts w:ascii="Verdana" w:hAnsi="Verdana"/>
          <w:sz w:val="24"/>
          <w:szCs w:val="24"/>
        </w:rPr>
        <w:t xml:space="preserve"> projektmenedzsment szolgáltatási díjból</w:t>
      </w:r>
      <w:r w:rsidR="0021534A">
        <w:rPr>
          <w:rFonts w:ascii="Verdana" w:hAnsi="Verdana"/>
          <w:sz w:val="24"/>
          <w:szCs w:val="24"/>
        </w:rPr>
        <w:t xml:space="preserve"> realizálódott</w:t>
      </w:r>
      <w:r>
        <w:rPr>
          <w:rFonts w:ascii="Verdana" w:hAnsi="Verdana"/>
          <w:sz w:val="24"/>
          <w:szCs w:val="24"/>
        </w:rPr>
        <w:t>.</w:t>
      </w:r>
      <w:r w:rsidR="0021534A">
        <w:rPr>
          <w:rFonts w:ascii="Verdana" w:hAnsi="Verdana"/>
          <w:sz w:val="24"/>
          <w:szCs w:val="24"/>
        </w:rPr>
        <w:t xml:space="preserve"> </w:t>
      </w:r>
    </w:p>
    <w:p w:rsidR="001C4032" w:rsidRDefault="001C4032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38.522-e.Ft. összegű támogatást a társaság 2013.évben 28.491-e.Ft. összeget az alkalmazottak bérköltségére és annak járulékaira fordította.</w:t>
      </w:r>
    </w:p>
    <w:p w:rsidR="001C4032" w:rsidRDefault="001C4032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10.031-e.Ft. összegű támogatás pedig a tagi kölcsön visszafizetésének pénzügyi fedezetét biztosította 2013.év december 31-én, ezáltal a társaságunknak az Alapítóval szemben fennálló tartozása 2013.év december 31-vel megsz</w:t>
      </w:r>
      <w:r w:rsidR="00190E78">
        <w:rPr>
          <w:rFonts w:ascii="Verdana" w:hAnsi="Verdana"/>
          <w:sz w:val="24"/>
          <w:szCs w:val="24"/>
        </w:rPr>
        <w:t>ű</w:t>
      </w:r>
      <w:r>
        <w:rPr>
          <w:rFonts w:ascii="Verdana" w:hAnsi="Verdana"/>
          <w:sz w:val="24"/>
          <w:szCs w:val="24"/>
        </w:rPr>
        <w:t>nt.</w:t>
      </w:r>
      <w:r w:rsidR="00597A62">
        <w:rPr>
          <w:rFonts w:ascii="Verdana" w:hAnsi="Verdana"/>
          <w:sz w:val="24"/>
          <w:szCs w:val="24"/>
        </w:rPr>
        <w:t xml:space="preserve"> </w:t>
      </w:r>
    </w:p>
    <w:p w:rsidR="001C4032" w:rsidRDefault="001C4032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211B65" w:rsidRDefault="006925D7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211B65" w:rsidRPr="002B576F">
        <w:rPr>
          <w:rFonts w:ascii="Verdana" w:hAnsi="Verdana"/>
          <w:sz w:val="24"/>
          <w:szCs w:val="24"/>
        </w:rPr>
        <w:t xml:space="preserve">A 2013. év gazdálkodásában pozitív elmozdulás történt abban a vonatkozásban, hogy az Alapító az </w:t>
      </w:r>
      <w:r w:rsidR="00211B65" w:rsidRPr="002B576F">
        <w:rPr>
          <w:rFonts w:ascii="Verdana" w:hAnsi="Verdana"/>
          <w:b/>
          <w:sz w:val="24"/>
          <w:szCs w:val="24"/>
        </w:rPr>
        <w:t>IVS II</w:t>
      </w:r>
      <w:r w:rsidR="00211B65" w:rsidRPr="002B576F">
        <w:rPr>
          <w:rFonts w:ascii="Verdana" w:hAnsi="Verdana"/>
          <w:sz w:val="24"/>
          <w:szCs w:val="24"/>
        </w:rPr>
        <w:t xml:space="preserve">. és </w:t>
      </w:r>
      <w:r w:rsidR="00211B65" w:rsidRPr="002B576F">
        <w:rPr>
          <w:rFonts w:ascii="Verdana" w:hAnsi="Verdana"/>
          <w:b/>
          <w:sz w:val="24"/>
          <w:szCs w:val="24"/>
        </w:rPr>
        <w:t>IVS III</w:t>
      </w:r>
      <w:r w:rsidR="00211B65" w:rsidRPr="002B576F">
        <w:rPr>
          <w:rFonts w:ascii="Verdana" w:hAnsi="Verdana"/>
          <w:sz w:val="24"/>
          <w:szCs w:val="24"/>
        </w:rPr>
        <w:t xml:space="preserve">. projektek projektmenedzsmenti feladatainak ellátásával </w:t>
      </w:r>
      <w:r>
        <w:rPr>
          <w:rFonts w:ascii="Verdana" w:hAnsi="Verdana"/>
          <w:sz w:val="24"/>
          <w:szCs w:val="24"/>
        </w:rPr>
        <w:t>a társaságot bízt</w:t>
      </w:r>
      <w:r w:rsidR="00211B65" w:rsidRPr="002B576F">
        <w:rPr>
          <w:rFonts w:ascii="Verdana" w:hAnsi="Verdana"/>
          <w:sz w:val="24"/>
          <w:szCs w:val="24"/>
        </w:rPr>
        <w:t xml:space="preserve">a meg. Ez jelentős változás, amely hatással </w:t>
      </w:r>
      <w:r>
        <w:rPr>
          <w:rFonts w:ascii="Verdana" w:hAnsi="Verdana"/>
          <w:sz w:val="24"/>
          <w:szCs w:val="24"/>
        </w:rPr>
        <w:t>v</w:t>
      </w:r>
      <w:r w:rsidR="00211B65" w:rsidRPr="002B576F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n a</w:t>
      </w:r>
      <w:r w:rsidR="00211B65" w:rsidRPr="002B576F">
        <w:rPr>
          <w:rFonts w:ascii="Verdana" w:hAnsi="Verdana"/>
          <w:sz w:val="24"/>
          <w:szCs w:val="24"/>
        </w:rPr>
        <w:t xml:space="preserve"> társaság gazdasági, pénzügyi stratégiájára,</w:t>
      </w:r>
      <w:r>
        <w:rPr>
          <w:rFonts w:ascii="Verdana" w:hAnsi="Verdana"/>
          <w:sz w:val="24"/>
          <w:szCs w:val="24"/>
        </w:rPr>
        <w:t xml:space="preserve"> pénzügyi egyensúlyának megteremtésére,</w:t>
      </w:r>
      <w:r w:rsidR="00211B65" w:rsidRPr="002B576F">
        <w:rPr>
          <w:rFonts w:ascii="Verdana" w:hAnsi="Verdana"/>
          <w:sz w:val="24"/>
          <w:szCs w:val="24"/>
        </w:rPr>
        <w:t xml:space="preserve"> valamint a</w:t>
      </w:r>
      <w:r>
        <w:rPr>
          <w:rFonts w:ascii="Verdana" w:hAnsi="Verdana"/>
          <w:sz w:val="24"/>
          <w:szCs w:val="24"/>
        </w:rPr>
        <w:t xml:space="preserve"> társaságról</w:t>
      </w:r>
      <w:r w:rsidR="00C96B78">
        <w:rPr>
          <w:rFonts w:ascii="Verdana" w:hAnsi="Verdana"/>
          <w:sz w:val="24"/>
          <w:szCs w:val="24"/>
        </w:rPr>
        <w:t xml:space="preserve"> kialakított</w:t>
      </w:r>
      <w:r w:rsidR="00211B65" w:rsidRPr="002B576F">
        <w:rPr>
          <w:rFonts w:ascii="Verdana" w:hAnsi="Verdana"/>
          <w:sz w:val="24"/>
          <w:szCs w:val="24"/>
        </w:rPr>
        <w:t xml:space="preserve"> valós összkép megítélésében. A beszámolási időszakra a megfontolt, takarékos gazdálkodás volt a jellem</w:t>
      </w:r>
      <w:r w:rsidR="00C96B78">
        <w:rPr>
          <w:rFonts w:ascii="Verdana" w:hAnsi="Verdana"/>
          <w:sz w:val="24"/>
          <w:szCs w:val="24"/>
        </w:rPr>
        <w:t>ző. A 2013.</w:t>
      </w:r>
      <w:r w:rsidR="00211B65" w:rsidRPr="002B576F">
        <w:rPr>
          <w:rFonts w:ascii="Verdana" w:hAnsi="Verdana"/>
          <w:sz w:val="24"/>
          <w:szCs w:val="24"/>
        </w:rPr>
        <w:t xml:space="preserve"> évi m</w:t>
      </w:r>
      <w:r w:rsidR="00C96B78">
        <w:rPr>
          <w:rFonts w:ascii="Verdana" w:hAnsi="Verdana"/>
          <w:sz w:val="24"/>
          <w:szCs w:val="24"/>
        </w:rPr>
        <w:t xml:space="preserve">űködéshez, a pénzügyi fedezetet a 20.276-e.Ft. realizálódott árbevétel, és a 41.787-e.Ft összegű egyéb bevétel </w:t>
      </w:r>
      <w:r w:rsidR="00211B65" w:rsidRPr="002B576F">
        <w:rPr>
          <w:rFonts w:ascii="Verdana" w:hAnsi="Verdana"/>
          <w:sz w:val="24"/>
          <w:szCs w:val="24"/>
        </w:rPr>
        <w:t xml:space="preserve">biztosította.  </w:t>
      </w:r>
    </w:p>
    <w:p w:rsidR="00C42124" w:rsidRDefault="00C42124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C42124" w:rsidRPr="002B576F" w:rsidRDefault="00C42124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C42124" w:rsidRDefault="00C42124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C42124" w:rsidRDefault="00C42124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211B65" w:rsidRPr="002B576F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A 2013.évi Üzleti Tervben az éves működési kiadásokra 39.322-e.Ft. összeggel számoltunk. Ezzel </w:t>
      </w:r>
      <w:r w:rsidR="00C96B78">
        <w:rPr>
          <w:rFonts w:ascii="Verdana" w:hAnsi="Verdana"/>
          <w:sz w:val="24"/>
          <w:szCs w:val="24"/>
        </w:rPr>
        <w:t>szemben a tervezetthez képest a 2013.évi</w:t>
      </w:r>
      <w:r w:rsidRPr="002B576F">
        <w:rPr>
          <w:rFonts w:ascii="Verdana" w:hAnsi="Verdana"/>
          <w:sz w:val="24"/>
          <w:szCs w:val="24"/>
        </w:rPr>
        <w:t xml:space="preserve"> gazdálkodás során a ténylegesen felmerült</w:t>
      </w:r>
      <w:r w:rsidR="00EA2DF0">
        <w:rPr>
          <w:rFonts w:ascii="Verdana" w:hAnsi="Verdana"/>
          <w:sz w:val="24"/>
          <w:szCs w:val="24"/>
        </w:rPr>
        <w:t xml:space="preserve"> összes</w:t>
      </w:r>
      <w:r w:rsidRPr="002B576F">
        <w:rPr>
          <w:rFonts w:ascii="Verdana" w:hAnsi="Verdana"/>
          <w:sz w:val="24"/>
          <w:szCs w:val="24"/>
        </w:rPr>
        <w:t xml:space="preserve"> működési kiadások, ráfordítások </w:t>
      </w:r>
      <w:r w:rsidR="00EA2DF0" w:rsidRPr="00EA2DF0">
        <w:rPr>
          <w:rFonts w:ascii="Verdana" w:hAnsi="Verdana"/>
          <w:b/>
          <w:sz w:val="24"/>
          <w:szCs w:val="24"/>
        </w:rPr>
        <w:t>60.274-e.Ft.</w:t>
      </w:r>
      <w:r w:rsidR="00EA2DF0">
        <w:rPr>
          <w:rFonts w:ascii="Verdana" w:hAnsi="Verdana"/>
          <w:sz w:val="24"/>
          <w:szCs w:val="24"/>
        </w:rPr>
        <w:t xml:space="preserve"> </w:t>
      </w:r>
      <w:r w:rsidRPr="002B576F">
        <w:rPr>
          <w:rFonts w:ascii="Verdana" w:hAnsi="Verdana"/>
          <w:sz w:val="24"/>
          <w:szCs w:val="24"/>
        </w:rPr>
        <w:t>összeget prognosztizálnak. A</w:t>
      </w:r>
      <w:r w:rsidR="00EA2DF0">
        <w:rPr>
          <w:rFonts w:ascii="Verdana" w:hAnsi="Verdana"/>
          <w:sz w:val="24"/>
          <w:szCs w:val="24"/>
        </w:rPr>
        <w:t xml:space="preserve"> tényleges számok</w:t>
      </w:r>
      <w:r w:rsidRPr="002B576F">
        <w:rPr>
          <w:rFonts w:ascii="Verdana" w:hAnsi="Verdana"/>
          <w:sz w:val="24"/>
          <w:szCs w:val="24"/>
        </w:rPr>
        <w:t xml:space="preserve"> alapján</w:t>
      </w:r>
      <w:r w:rsidR="00EA2DF0">
        <w:rPr>
          <w:rFonts w:ascii="Verdana" w:hAnsi="Verdana"/>
          <w:sz w:val="24"/>
          <w:szCs w:val="24"/>
        </w:rPr>
        <w:t xml:space="preserve"> az éves</w:t>
      </w:r>
      <w:r w:rsidRPr="002B576F">
        <w:rPr>
          <w:rFonts w:ascii="Verdana" w:hAnsi="Verdana"/>
          <w:sz w:val="24"/>
          <w:szCs w:val="24"/>
        </w:rPr>
        <w:t xml:space="preserve"> gazdálkodás pénzügyi mérlege </w:t>
      </w:r>
      <w:r w:rsidRPr="002B576F">
        <w:rPr>
          <w:rFonts w:ascii="Verdana" w:hAnsi="Verdana"/>
          <w:b/>
          <w:sz w:val="24"/>
          <w:szCs w:val="24"/>
        </w:rPr>
        <w:t>1.7</w:t>
      </w:r>
      <w:r w:rsidR="00EA2DF0">
        <w:rPr>
          <w:rFonts w:ascii="Verdana" w:hAnsi="Verdana"/>
          <w:b/>
          <w:sz w:val="24"/>
          <w:szCs w:val="24"/>
        </w:rPr>
        <w:t>89</w:t>
      </w:r>
      <w:r w:rsidRPr="002B576F">
        <w:rPr>
          <w:rFonts w:ascii="Verdana" w:hAnsi="Verdana"/>
          <w:sz w:val="24"/>
          <w:szCs w:val="24"/>
        </w:rPr>
        <w:t>-</w:t>
      </w:r>
      <w:r w:rsidRPr="002B576F">
        <w:rPr>
          <w:rFonts w:ascii="Verdana" w:hAnsi="Verdana"/>
          <w:b/>
          <w:sz w:val="24"/>
          <w:szCs w:val="24"/>
        </w:rPr>
        <w:t>e.Ft.</w:t>
      </w:r>
      <w:r w:rsidRPr="002B576F">
        <w:rPr>
          <w:rFonts w:ascii="Verdana" w:hAnsi="Verdana"/>
          <w:sz w:val="24"/>
          <w:szCs w:val="24"/>
        </w:rPr>
        <w:t xml:space="preserve"> összegű</w:t>
      </w:r>
      <w:r w:rsidR="00EA2DF0">
        <w:rPr>
          <w:rFonts w:ascii="Verdana" w:hAnsi="Verdana"/>
          <w:sz w:val="24"/>
          <w:szCs w:val="24"/>
        </w:rPr>
        <w:t xml:space="preserve"> pozitív</w:t>
      </w:r>
      <w:r w:rsidRPr="002B576F">
        <w:rPr>
          <w:rFonts w:ascii="Verdana" w:hAnsi="Verdana"/>
          <w:sz w:val="24"/>
          <w:szCs w:val="24"/>
        </w:rPr>
        <w:t xml:space="preserve"> eredményt mutat. </w:t>
      </w:r>
    </w:p>
    <w:p w:rsidR="00211B65" w:rsidRPr="002B576F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A </w:t>
      </w:r>
      <w:r w:rsidR="00EA2DF0">
        <w:rPr>
          <w:rFonts w:ascii="Verdana" w:hAnsi="Verdana"/>
          <w:sz w:val="24"/>
          <w:szCs w:val="24"/>
        </w:rPr>
        <w:t xml:space="preserve">60.274-e.Ft. összegű </w:t>
      </w:r>
      <w:r w:rsidRPr="002B576F">
        <w:rPr>
          <w:rFonts w:ascii="Verdana" w:hAnsi="Verdana"/>
          <w:sz w:val="24"/>
          <w:szCs w:val="24"/>
        </w:rPr>
        <w:t>költségek és ráfordítások tényleges</w:t>
      </w:r>
      <w:r w:rsidR="00EA2DF0">
        <w:rPr>
          <w:rFonts w:ascii="Verdana" w:hAnsi="Verdana"/>
          <w:sz w:val="24"/>
          <w:szCs w:val="24"/>
        </w:rPr>
        <w:t xml:space="preserve"> </w:t>
      </w:r>
      <w:r w:rsidRPr="002B576F">
        <w:rPr>
          <w:rFonts w:ascii="Verdana" w:hAnsi="Verdana"/>
          <w:sz w:val="24"/>
          <w:szCs w:val="24"/>
        </w:rPr>
        <w:t>alakulása</w:t>
      </w:r>
      <w:r w:rsidR="00EA2DF0">
        <w:rPr>
          <w:rFonts w:ascii="Verdana" w:hAnsi="Verdana"/>
          <w:sz w:val="24"/>
          <w:szCs w:val="24"/>
        </w:rPr>
        <w:t xml:space="preserve"> 2013. évben az árbevételhe</w:t>
      </w:r>
      <w:r w:rsidR="00F86A55">
        <w:rPr>
          <w:rFonts w:ascii="Verdana" w:hAnsi="Verdana"/>
          <w:sz w:val="24"/>
          <w:szCs w:val="24"/>
        </w:rPr>
        <w:t>z viszonyítva arányosnak mondható.</w:t>
      </w:r>
      <w:r w:rsidRPr="002B576F">
        <w:rPr>
          <w:rFonts w:ascii="Verdana" w:hAnsi="Verdana"/>
          <w:sz w:val="24"/>
          <w:szCs w:val="24"/>
        </w:rPr>
        <w:t xml:space="preserve"> </w:t>
      </w:r>
    </w:p>
    <w:p w:rsidR="00211B65" w:rsidRPr="002B576F" w:rsidRDefault="00211B65" w:rsidP="00211B65">
      <w:pPr>
        <w:rPr>
          <w:rFonts w:ascii="Verdana" w:hAnsi="Verdana"/>
          <w:sz w:val="24"/>
          <w:szCs w:val="24"/>
        </w:rPr>
      </w:pPr>
    </w:p>
    <w:p w:rsidR="00211B65" w:rsidRPr="002B576F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Költségarányok alakulását az összköltségen belül az alábbi számsorok prezentálják:    </w:t>
      </w:r>
    </w:p>
    <w:p w:rsidR="00B07B46" w:rsidRPr="002B576F" w:rsidRDefault="00B07B46">
      <w:pPr>
        <w:rPr>
          <w:rFonts w:ascii="Verdana" w:hAnsi="Verdana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1858"/>
        <w:gridCol w:w="1843"/>
      </w:tblGrid>
      <w:tr w:rsidR="00211B65" w:rsidRPr="002B576F" w:rsidTr="00211B65">
        <w:trPr>
          <w:jc w:val="center"/>
        </w:trPr>
        <w:tc>
          <w:tcPr>
            <w:tcW w:w="3070" w:type="dxa"/>
          </w:tcPr>
          <w:p w:rsidR="00211B65" w:rsidRPr="002B576F" w:rsidRDefault="00211B65" w:rsidP="006925D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11B65" w:rsidRPr="002B576F" w:rsidRDefault="00211B65" w:rsidP="006925D7">
            <w:pPr>
              <w:tabs>
                <w:tab w:val="center" w:pos="1427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B576F">
              <w:rPr>
                <w:rFonts w:ascii="Verdana" w:hAnsi="Verdana"/>
                <w:b/>
                <w:sz w:val="24"/>
                <w:szCs w:val="24"/>
              </w:rPr>
              <w:t>e</w:t>
            </w:r>
            <w:r w:rsidR="003E259E">
              <w:rPr>
                <w:rFonts w:ascii="Verdana" w:hAnsi="Verdana"/>
                <w:b/>
                <w:sz w:val="24"/>
                <w:szCs w:val="24"/>
              </w:rPr>
              <w:t>.</w:t>
            </w:r>
            <w:r w:rsidRPr="002B576F">
              <w:rPr>
                <w:rFonts w:ascii="Verdana" w:hAnsi="Verdana"/>
                <w:b/>
                <w:sz w:val="24"/>
                <w:szCs w:val="24"/>
              </w:rPr>
              <w:t xml:space="preserve"> Ft</w:t>
            </w:r>
            <w:r w:rsidR="003E259E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211B65" w:rsidRPr="002B576F" w:rsidRDefault="00211B65" w:rsidP="006925D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B576F">
              <w:rPr>
                <w:rFonts w:ascii="Verdana" w:hAnsi="Verdana"/>
                <w:b/>
                <w:sz w:val="24"/>
                <w:szCs w:val="24"/>
              </w:rPr>
              <w:t>%</w:t>
            </w:r>
          </w:p>
        </w:tc>
      </w:tr>
      <w:tr w:rsidR="00211B65" w:rsidRPr="002B576F" w:rsidTr="00211B65">
        <w:trPr>
          <w:jc w:val="center"/>
        </w:trPr>
        <w:tc>
          <w:tcPr>
            <w:tcW w:w="3070" w:type="dxa"/>
            <w:vAlign w:val="center"/>
          </w:tcPr>
          <w:p w:rsidR="00211B65" w:rsidRPr="002B576F" w:rsidRDefault="00211B65" w:rsidP="006925D7">
            <w:pPr>
              <w:rPr>
                <w:rFonts w:ascii="Verdana" w:hAnsi="Verdana"/>
                <w:sz w:val="24"/>
                <w:szCs w:val="24"/>
              </w:rPr>
            </w:pPr>
            <w:r w:rsidRPr="002B576F">
              <w:rPr>
                <w:rFonts w:ascii="Verdana" w:hAnsi="Verdana"/>
                <w:sz w:val="24"/>
                <w:szCs w:val="24"/>
              </w:rPr>
              <w:t>Anyagköltség</w:t>
            </w:r>
          </w:p>
        </w:tc>
        <w:tc>
          <w:tcPr>
            <w:tcW w:w="1858" w:type="dxa"/>
            <w:vAlign w:val="center"/>
          </w:tcPr>
          <w:p w:rsidR="00211B65" w:rsidRPr="002B576F" w:rsidRDefault="00891076" w:rsidP="006925D7">
            <w:pPr>
              <w:tabs>
                <w:tab w:val="center" w:pos="1427"/>
              </w:tabs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963</w:t>
            </w:r>
          </w:p>
        </w:tc>
        <w:tc>
          <w:tcPr>
            <w:tcW w:w="1843" w:type="dxa"/>
            <w:vAlign w:val="center"/>
          </w:tcPr>
          <w:p w:rsidR="00211B65" w:rsidRPr="002B576F" w:rsidRDefault="00891076" w:rsidP="006925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2,5</w:t>
            </w:r>
          </w:p>
        </w:tc>
      </w:tr>
      <w:tr w:rsidR="00211B65" w:rsidRPr="002B576F" w:rsidTr="00211B65">
        <w:trPr>
          <w:jc w:val="center"/>
        </w:trPr>
        <w:tc>
          <w:tcPr>
            <w:tcW w:w="3070" w:type="dxa"/>
            <w:vAlign w:val="center"/>
          </w:tcPr>
          <w:p w:rsidR="00211B65" w:rsidRPr="002B576F" w:rsidRDefault="00211B65" w:rsidP="006925D7">
            <w:pPr>
              <w:rPr>
                <w:rFonts w:ascii="Verdana" w:hAnsi="Verdana"/>
                <w:sz w:val="24"/>
                <w:szCs w:val="24"/>
              </w:rPr>
            </w:pPr>
            <w:r w:rsidRPr="002B576F">
              <w:rPr>
                <w:rFonts w:ascii="Verdana" w:hAnsi="Verdana"/>
                <w:sz w:val="24"/>
                <w:szCs w:val="24"/>
              </w:rPr>
              <w:t>Igénybe vett szolgáltatás</w:t>
            </w:r>
          </w:p>
        </w:tc>
        <w:tc>
          <w:tcPr>
            <w:tcW w:w="1858" w:type="dxa"/>
            <w:vAlign w:val="center"/>
          </w:tcPr>
          <w:p w:rsidR="00211B65" w:rsidRPr="002B576F" w:rsidRDefault="00891076" w:rsidP="006925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1.529</w:t>
            </w:r>
          </w:p>
        </w:tc>
        <w:tc>
          <w:tcPr>
            <w:tcW w:w="1843" w:type="dxa"/>
            <w:vAlign w:val="center"/>
          </w:tcPr>
          <w:p w:rsidR="00211B65" w:rsidRPr="002B576F" w:rsidRDefault="00211B65" w:rsidP="006925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B576F">
              <w:rPr>
                <w:rFonts w:ascii="Verdana" w:hAnsi="Verdana"/>
                <w:sz w:val="24"/>
                <w:szCs w:val="24"/>
              </w:rPr>
              <w:t>4,</w:t>
            </w:r>
            <w:r w:rsidR="00891076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211B65" w:rsidRPr="002B576F" w:rsidTr="00211B65">
        <w:trPr>
          <w:jc w:val="center"/>
        </w:trPr>
        <w:tc>
          <w:tcPr>
            <w:tcW w:w="3070" w:type="dxa"/>
            <w:vAlign w:val="center"/>
          </w:tcPr>
          <w:p w:rsidR="00211B65" w:rsidRPr="002B576F" w:rsidRDefault="00211B65" w:rsidP="006925D7">
            <w:pPr>
              <w:rPr>
                <w:rFonts w:ascii="Verdana" w:hAnsi="Verdana"/>
                <w:sz w:val="24"/>
                <w:szCs w:val="24"/>
              </w:rPr>
            </w:pPr>
            <w:r w:rsidRPr="002B576F">
              <w:rPr>
                <w:rFonts w:ascii="Verdana" w:hAnsi="Verdana"/>
                <w:sz w:val="24"/>
                <w:szCs w:val="24"/>
              </w:rPr>
              <w:t>Egyéb szolgáltatás</w:t>
            </w:r>
          </w:p>
        </w:tc>
        <w:tc>
          <w:tcPr>
            <w:tcW w:w="1858" w:type="dxa"/>
            <w:vAlign w:val="center"/>
          </w:tcPr>
          <w:p w:rsidR="00211B65" w:rsidRPr="002B576F" w:rsidRDefault="00891076" w:rsidP="0089107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989</w:t>
            </w:r>
          </w:p>
        </w:tc>
        <w:tc>
          <w:tcPr>
            <w:tcW w:w="1843" w:type="dxa"/>
            <w:vAlign w:val="center"/>
          </w:tcPr>
          <w:p w:rsidR="00211B65" w:rsidRPr="002B576F" w:rsidRDefault="00891076" w:rsidP="006925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2,6</w:t>
            </w:r>
          </w:p>
        </w:tc>
      </w:tr>
      <w:tr w:rsidR="00211B65" w:rsidRPr="002B576F" w:rsidTr="00211B65">
        <w:trPr>
          <w:jc w:val="center"/>
        </w:trPr>
        <w:tc>
          <w:tcPr>
            <w:tcW w:w="3070" w:type="dxa"/>
            <w:vAlign w:val="center"/>
          </w:tcPr>
          <w:p w:rsidR="00211B65" w:rsidRPr="002B576F" w:rsidRDefault="00211B65" w:rsidP="006925D7">
            <w:pPr>
              <w:rPr>
                <w:rFonts w:ascii="Verdana" w:hAnsi="Verdana"/>
                <w:sz w:val="24"/>
                <w:szCs w:val="24"/>
              </w:rPr>
            </w:pPr>
            <w:r w:rsidRPr="002B576F">
              <w:rPr>
                <w:rFonts w:ascii="Verdana" w:hAnsi="Verdana"/>
                <w:sz w:val="24"/>
                <w:szCs w:val="24"/>
              </w:rPr>
              <w:t>Bérköltség</w:t>
            </w:r>
          </w:p>
        </w:tc>
        <w:tc>
          <w:tcPr>
            <w:tcW w:w="1858" w:type="dxa"/>
            <w:vAlign w:val="center"/>
          </w:tcPr>
          <w:p w:rsidR="00211B65" w:rsidRPr="002B576F" w:rsidRDefault="00891076" w:rsidP="0089107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26.670</w:t>
            </w:r>
          </w:p>
        </w:tc>
        <w:tc>
          <w:tcPr>
            <w:tcW w:w="1843" w:type="dxa"/>
            <w:vAlign w:val="center"/>
          </w:tcPr>
          <w:p w:rsidR="00211B65" w:rsidRPr="002B576F" w:rsidRDefault="00891076" w:rsidP="0089107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69,5</w:t>
            </w:r>
          </w:p>
        </w:tc>
      </w:tr>
      <w:tr w:rsidR="00211B65" w:rsidRPr="002B576F" w:rsidTr="00211B65">
        <w:trPr>
          <w:jc w:val="center"/>
        </w:trPr>
        <w:tc>
          <w:tcPr>
            <w:tcW w:w="3070" w:type="dxa"/>
            <w:vAlign w:val="center"/>
          </w:tcPr>
          <w:p w:rsidR="00211B65" w:rsidRPr="002B576F" w:rsidRDefault="00211B65" w:rsidP="006925D7">
            <w:pPr>
              <w:rPr>
                <w:rFonts w:ascii="Verdana" w:hAnsi="Verdana"/>
                <w:sz w:val="24"/>
                <w:szCs w:val="24"/>
              </w:rPr>
            </w:pPr>
            <w:r w:rsidRPr="002B576F">
              <w:rPr>
                <w:rFonts w:ascii="Verdana" w:hAnsi="Verdana"/>
                <w:sz w:val="24"/>
                <w:szCs w:val="24"/>
              </w:rPr>
              <w:t>Személyi j. egyéb kifiz</w:t>
            </w:r>
          </w:p>
        </w:tc>
        <w:tc>
          <w:tcPr>
            <w:tcW w:w="1858" w:type="dxa"/>
            <w:vAlign w:val="center"/>
          </w:tcPr>
          <w:p w:rsidR="00211B65" w:rsidRPr="002B576F" w:rsidRDefault="00891076" w:rsidP="006925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645</w:t>
            </w:r>
          </w:p>
        </w:tc>
        <w:tc>
          <w:tcPr>
            <w:tcW w:w="1843" w:type="dxa"/>
            <w:vAlign w:val="center"/>
          </w:tcPr>
          <w:p w:rsidR="00211B65" w:rsidRPr="002B576F" w:rsidRDefault="005A0153" w:rsidP="006925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891076">
              <w:rPr>
                <w:rFonts w:ascii="Verdana" w:hAnsi="Verdana"/>
                <w:sz w:val="24"/>
                <w:szCs w:val="24"/>
              </w:rPr>
              <w:t>1,</w:t>
            </w: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</w:tr>
      <w:tr w:rsidR="00211B65" w:rsidRPr="002B576F" w:rsidTr="00211B65">
        <w:trPr>
          <w:jc w:val="center"/>
        </w:trPr>
        <w:tc>
          <w:tcPr>
            <w:tcW w:w="3070" w:type="dxa"/>
            <w:vAlign w:val="center"/>
          </w:tcPr>
          <w:p w:rsidR="00211B65" w:rsidRPr="002B576F" w:rsidRDefault="00211B65" w:rsidP="006925D7">
            <w:pPr>
              <w:rPr>
                <w:rFonts w:ascii="Verdana" w:hAnsi="Verdana"/>
                <w:sz w:val="24"/>
                <w:szCs w:val="24"/>
              </w:rPr>
            </w:pPr>
            <w:r w:rsidRPr="002B576F">
              <w:rPr>
                <w:rFonts w:ascii="Verdana" w:hAnsi="Verdana"/>
                <w:sz w:val="24"/>
                <w:szCs w:val="24"/>
              </w:rPr>
              <w:t>Bérjárulékok</w:t>
            </w:r>
          </w:p>
        </w:tc>
        <w:tc>
          <w:tcPr>
            <w:tcW w:w="1858" w:type="dxa"/>
            <w:vAlign w:val="center"/>
          </w:tcPr>
          <w:p w:rsidR="00211B65" w:rsidRPr="002B576F" w:rsidRDefault="00891076" w:rsidP="006925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7.266</w:t>
            </w:r>
          </w:p>
        </w:tc>
        <w:tc>
          <w:tcPr>
            <w:tcW w:w="1843" w:type="dxa"/>
            <w:vAlign w:val="center"/>
          </w:tcPr>
          <w:p w:rsidR="00211B65" w:rsidRPr="002B576F" w:rsidRDefault="00211B65" w:rsidP="006925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B576F">
              <w:rPr>
                <w:rFonts w:ascii="Verdana" w:hAnsi="Verdana"/>
                <w:sz w:val="24"/>
                <w:szCs w:val="24"/>
              </w:rPr>
              <w:t>18,9</w:t>
            </w:r>
          </w:p>
        </w:tc>
      </w:tr>
      <w:tr w:rsidR="00211B65" w:rsidRPr="002B576F" w:rsidTr="00211B65">
        <w:trPr>
          <w:jc w:val="center"/>
        </w:trPr>
        <w:tc>
          <w:tcPr>
            <w:tcW w:w="3070" w:type="dxa"/>
            <w:vAlign w:val="center"/>
          </w:tcPr>
          <w:p w:rsidR="00211B65" w:rsidRPr="002B576F" w:rsidRDefault="00211B65" w:rsidP="006925D7">
            <w:pPr>
              <w:rPr>
                <w:rFonts w:ascii="Verdana" w:hAnsi="Verdana"/>
                <w:sz w:val="24"/>
                <w:szCs w:val="24"/>
              </w:rPr>
            </w:pPr>
            <w:r w:rsidRPr="002B576F">
              <w:rPr>
                <w:rFonts w:ascii="Verdana" w:hAnsi="Verdana"/>
                <w:sz w:val="24"/>
                <w:szCs w:val="24"/>
              </w:rPr>
              <w:t>Értékcsökkenés</w:t>
            </w:r>
          </w:p>
        </w:tc>
        <w:tc>
          <w:tcPr>
            <w:tcW w:w="1858" w:type="dxa"/>
            <w:vAlign w:val="center"/>
          </w:tcPr>
          <w:p w:rsidR="00211B65" w:rsidRPr="002B576F" w:rsidRDefault="00891076" w:rsidP="006925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285</w:t>
            </w:r>
          </w:p>
        </w:tc>
        <w:tc>
          <w:tcPr>
            <w:tcW w:w="1843" w:type="dxa"/>
            <w:vAlign w:val="center"/>
          </w:tcPr>
          <w:p w:rsidR="00211B65" w:rsidRPr="002B576F" w:rsidRDefault="00891076" w:rsidP="006925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211B65" w:rsidRPr="002B576F">
              <w:rPr>
                <w:rFonts w:ascii="Verdana" w:hAnsi="Verdana"/>
                <w:sz w:val="24"/>
                <w:szCs w:val="24"/>
              </w:rPr>
              <w:t>0,</w:t>
            </w: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</w:tr>
      <w:tr w:rsidR="00211B65" w:rsidRPr="002B576F" w:rsidTr="00211B65">
        <w:trPr>
          <w:jc w:val="center"/>
        </w:trPr>
        <w:tc>
          <w:tcPr>
            <w:tcW w:w="3070" w:type="dxa"/>
            <w:vAlign w:val="center"/>
          </w:tcPr>
          <w:p w:rsidR="00211B65" w:rsidRPr="002B576F" w:rsidRDefault="00211B65" w:rsidP="006925D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B576F">
              <w:rPr>
                <w:rFonts w:ascii="Verdana" w:hAnsi="Verdana"/>
                <w:b/>
                <w:sz w:val="24"/>
                <w:szCs w:val="24"/>
              </w:rPr>
              <w:t>Költség nemek összesen</w:t>
            </w:r>
          </w:p>
        </w:tc>
        <w:tc>
          <w:tcPr>
            <w:tcW w:w="1858" w:type="dxa"/>
            <w:vAlign w:val="center"/>
          </w:tcPr>
          <w:p w:rsidR="00211B65" w:rsidRPr="002B576F" w:rsidRDefault="00891076" w:rsidP="0089107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38.347</w:t>
            </w:r>
          </w:p>
        </w:tc>
        <w:tc>
          <w:tcPr>
            <w:tcW w:w="1843" w:type="dxa"/>
            <w:vAlign w:val="center"/>
          </w:tcPr>
          <w:p w:rsidR="00211B65" w:rsidRPr="002B576F" w:rsidRDefault="00211B65" w:rsidP="006925D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B576F">
              <w:rPr>
                <w:rFonts w:ascii="Verdana" w:hAnsi="Verdana"/>
                <w:b/>
                <w:sz w:val="24"/>
                <w:szCs w:val="24"/>
              </w:rPr>
              <w:t>100</w:t>
            </w:r>
          </w:p>
        </w:tc>
      </w:tr>
    </w:tbl>
    <w:p w:rsidR="00211B65" w:rsidRPr="002B576F" w:rsidRDefault="00211B65">
      <w:pPr>
        <w:rPr>
          <w:rFonts w:ascii="Verdana" w:hAnsi="Verdana"/>
          <w:sz w:val="24"/>
          <w:szCs w:val="24"/>
        </w:rPr>
      </w:pPr>
    </w:p>
    <w:p w:rsidR="00CA6743" w:rsidRDefault="00CA6743" w:rsidP="00211B65">
      <w:pPr>
        <w:spacing w:before="240" w:after="0"/>
        <w:rPr>
          <w:rFonts w:ascii="Verdana" w:hAnsi="Verdana"/>
          <w:sz w:val="24"/>
          <w:szCs w:val="24"/>
        </w:rPr>
      </w:pPr>
    </w:p>
    <w:p w:rsidR="00211B65" w:rsidRPr="002B576F" w:rsidRDefault="00211B65" w:rsidP="00211B65">
      <w:pPr>
        <w:spacing w:before="240" w:after="0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>A költség nemek részarányait tekintve, a teljesség igénye nélkül, a legnagyobb részarányt a Bérköltség /</w:t>
      </w:r>
      <w:r w:rsidR="003E259E">
        <w:rPr>
          <w:rFonts w:ascii="Verdana" w:hAnsi="Verdana"/>
          <w:sz w:val="24"/>
          <w:szCs w:val="24"/>
        </w:rPr>
        <w:t>69</w:t>
      </w:r>
      <w:r w:rsidRPr="002B576F">
        <w:rPr>
          <w:rFonts w:ascii="Verdana" w:hAnsi="Verdana"/>
          <w:sz w:val="24"/>
          <w:szCs w:val="24"/>
        </w:rPr>
        <w:t>,5%-kal/, majd ezt követi / 18,9%</w:t>
      </w:r>
      <w:r w:rsidRPr="002B576F">
        <w:rPr>
          <w:rFonts w:ascii="Verdana" w:hAnsi="Verdana"/>
          <w:b/>
          <w:sz w:val="24"/>
          <w:szCs w:val="24"/>
        </w:rPr>
        <w:t>-</w:t>
      </w:r>
      <w:r w:rsidRPr="002B576F">
        <w:rPr>
          <w:rFonts w:ascii="Verdana" w:hAnsi="Verdana"/>
          <w:sz w:val="24"/>
          <w:szCs w:val="24"/>
        </w:rPr>
        <w:t>kal/ a Bérjárulék, és az</w:t>
      </w:r>
      <w:r w:rsidR="003E259E">
        <w:rPr>
          <w:rFonts w:ascii="Verdana" w:hAnsi="Verdana"/>
          <w:sz w:val="24"/>
          <w:szCs w:val="24"/>
        </w:rPr>
        <w:t xml:space="preserve"> Igénybe vett szolgáltatás 4,0</w:t>
      </w:r>
      <w:r w:rsidRPr="002B576F">
        <w:rPr>
          <w:rFonts w:ascii="Verdana" w:hAnsi="Verdana"/>
          <w:sz w:val="24"/>
          <w:szCs w:val="24"/>
        </w:rPr>
        <w:t>%-kal/.</w:t>
      </w:r>
    </w:p>
    <w:p w:rsidR="00211B65" w:rsidRPr="002B576F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>2013.</w:t>
      </w:r>
      <w:r w:rsidR="003E259E">
        <w:rPr>
          <w:rFonts w:ascii="Verdana" w:hAnsi="Verdana"/>
          <w:sz w:val="24"/>
          <w:szCs w:val="24"/>
        </w:rPr>
        <w:t xml:space="preserve"> év december 31.</w:t>
      </w:r>
      <w:r w:rsidRPr="002B576F">
        <w:rPr>
          <w:rFonts w:ascii="Verdana" w:hAnsi="Verdana"/>
          <w:sz w:val="24"/>
          <w:szCs w:val="24"/>
        </w:rPr>
        <w:t xml:space="preserve"> napp</w:t>
      </w:r>
      <w:r w:rsidR="003E259E">
        <w:rPr>
          <w:rFonts w:ascii="Verdana" w:hAnsi="Verdana"/>
          <w:sz w:val="24"/>
          <w:szCs w:val="24"/>
        </w:rPr>
        <w:t>al elkészített Egyszerűsített É</w:t>
      </w:r>
      <w:r w:rsidRPr="002B576F">
        <w:rPr>
          <w:rFonts w:ascii="Verdana" w:hAnsi="Verdana"/>
          <w:sz w:val="24"/>
          <w:szCs w:val="24"/>
        </w:rPr>
        <w:t>ves Mérlegbeszámolóból</w:t>
      </w:r>
      <w:r w:rsidR="003E259E">
        <w:rPr>
          <w:rFonts w:ascii="Verdana" w:hAnsi="Verdana"/>
          <w:sz w:val="24"/>
          <w:szCs w:val="24"/>
        </w:rPr>
        <w:t xml:space="preserve"> </w:t>
      </w:r>
      <w:r w:rsidRPr="002B576F">
        <w:rPr>
          <w:rFonts w:ascii="Verdana" w:hAnsi="Verdana"/>
          <w:sz w:val="24"/>
          <w:szCs w:val="24"/>
        </w:rPr>
        <w:t xml:space="preserve">az Eszköz – Forrás egyező végösszege </w:t>
      </w:r>
      <w:r w:rsidR="003E259E" w:rsidRPr="003E259E">
        <w:rPr>
          <w:rFonts w:ascii="Verdana" w:hAnsi="Verdana"/>
          <w:b/>
          <w:sz w:val="24"/>
          <w:szCs w:val="24"/>
        </w:rPr>
        <w:t>77.260</w:t>
      </w:r>
      <w:r w:rsidRPr="002B576F">
        <w:rPr>
          <w:rFonts w:ascii="Verdana" w:hAnsi="Verdana"/>
          <w:b/>
          <w:sz w:val="24"/>
          <w:szCs w:val="24"/>
        </w:rPr>
        <w:t>-e.Ft</w:t>
      </w:r>
      <w:r w:rsidRPr="002B576F">
        <w:rPr>
          <w:rFonts w:ascii="Verdana" w:hAnsi="Verdana"/>
          <w:sz w:val="24"/>
          <w:szCs w:val="24"/>
        </w:rPr>
        <w:t xml:space="preserve">. Mérleg szerinti eredmény </w:t>
      </w:r>
      <w:r w:rsidRPr="002B576F">
        <w:rPr>
          <w:rFonts w:ascii="Verdana" w:hAnsi="Verdana"/>
          <w:b/>
          <w:sz w:val="24"/>
          <w:szCs w:val="24"/>
        </w:rPr>
        <w:t>1.7</w:t>
      </w:r>
      <w:r w:rsidR="003E259E">
        <w:rPr>
          <w:rFonts w:ascii="Verdana" w:hAnsi="Verdana"/>
          <w:b/>
          <w:sz w:val="24"/>
          <w:szCs w:val="24"/>
        </w:rPr>
        <w:t>89</w:t>
      </w:r>
      <w:r w:rsidRPr="002B576F">
        <w:rPr>
          <w:rFonts w:ascii="Verdana" w:hAnsi="Verdana"/>
          <w:b/>
          <w:sz w:val="24"/>
          <w:szCs w:val="24"/>
        </w:rPr>
        <w:t>-e</w:t>
      </w:r>
      <w:r w:rsidRPr="002B576F">
        <w:rPr>
          <w:rFonts w:ascii="Verdana" w:hAnsi="Verdana"/>
          <w:sz w:val="24"/>
          <w:szCs w:val="24"/>
        </w:rPr>
        <w:t>.</w:t>
      </w:r>
      <w:r w:rsidRPr="002B576F">
        <w:rPr>
          <w:rFonts w:ascii="Verdana" w:hAnsi="Verdana"/>
          <w:b/>
          <w:sz w:val="24"/>
          <w:szCs w:val="24"/>
        </w:rPr>
        <w:t>Ft</w:t>
      </w:r>
      <w:r w:rsidRPr="002B576F">
        <w:rPr>
          <w:rFonts w:ascii="Verdana" w:hAnsi="Verdana"/>
          <w:sz w:val="24"/>
          <w:szCs w:val="24"/>
        </w:rPr>
        <w:t xml:space="preserve">. </w:t>
      </w:r>
    </w:p>
    <w:p w:rsidR="00211B65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CA6743" w:rsidRDefault="00CA6743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CA6743" w:rsidRDefault="00CA6743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CA6743" w:rsidRPr="002B576F" w:rsidRDefault="00CA6743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211B65" w:rsidRPr="002B576F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b/>
          <w:sz w:val="24"/>
          <w:szCs w:val="24"/>
        </w:rPr>
        <w:t>Összegezve:</w:t>
      </w:r>
      <w:r w:rsidRPr="002B576F">
        <w:rPr>
          <w:rFonts w:ascii="Verdana" w:hAnsi="Verdana"/>
          <w:sz w:val="24"/>
          <w:szCs w:val="24"/>
        </w:rPr>
        <w:t xml:space="preserve"> A fentiekben leírtak alapján elmondható, hogy a társaság instabil pénzügyi helyzete pozitív irányban elmozdul</w:t>
      </w:r>
      <w:r w:rsidR="0047295B">
        <w:rPr>
          <w:rFonts w:ascii="Verdana" w:hAnsi="Verdana"/>
          <w:sz w:val="24"/>
          <w:szCs w:val="24"/>
        </w:rPr>
        <w:t>t</w:t>
      </w:r>
      <w:r w:rsidRPr="002B576F">
        <w:rPr>
          <w:rFonts w:ascii="Verdana" w:hAnsi="Verdana"/>
          <w:sz w:val="24"/>
          <w:szCs w:val="24"/>
        </w:rPr>
        <w:t xml:space="preserve">, amelyet a Mérlegbeszámolóban rögzített </w:t>
      </w:r>
      <w:r w:rsidRPr="002B576F">
        <w:rPr>
          <w:rFonts w:ascii="Verdana" w:hAnsi="Verdana"/>
          <w:b/>
          <w:sz w:val="24"/>
          <w:szCs w:val="24"/>
        </w:rPr>
        <w:t>1.7</w:t>
      </w:r>
      <w:r w:rsidR="0047295B">
        <w:rPr>
          <w:rFonts w:ascii="Verdana" w:hAnsi="Verdana"/>
          <w:b/>
          <w:sz w:val="24"/>
          <w:szCs w:val="24"/>
        </w:rPr>
        <w:t>89</w:t>
      </w:r>
      <w:r w:rsidRPr="002B576F">
        <w:rPr>
          <w:rFonts w:ascii="Verdana" w:hAnsi="Verdana"/>
          <w:b/>
          <w:sz w:val="24"/>
          <w:szCs w:val="24"/>
        </w:rPr>
        <w:t>-e</w:t>
      </w:r>
      <w:r w:rsidRPr="002B576F">
        <w:rPr>
          <w:rFonts w:ascii="Verdana" w:hAnsi="Verdana"/>
          <w:sz w:val="24"/>
          <w:szCs w:val="24"/>
        </w:rPr>
        <w:t>.</w:t>
      </w:r>
      <w:r w:rsidRPr="002B576F">
        <w:rPr>
          <w:rFonts w:ascii="Verdana" w:hAnsi="Verdana"/>
          <w:b/>
          <w:sz w:val="24"/>
          <w:szCs w:val="24"/>
        </w:rPr>
        <w:t>Ft</w:t>
      </w:r>
      <w:r w:rsidRPr="002B576F">
        <w:rPr>
          <w:rFonts w:ascii="Verdana" w:hAnsi="Verdana"/>
          <w:sz w:val="24"/>
          <w:szCs w:val="24"/>
        </w:rPr>
        <w:t xml:space="preserve">. </w:t>
      </w:r>
      <w:r w:rsidRPr="002B576F">
        <w:rPr>
          <w:rFonts w:ascii="Verdana" w:hAnsi="Verdana"/>
          <w:b/>
          <w:sz w:val="24"/>
          <w:szCs w:val="24"/>
        </w:rPr>
        <w:t xml:space="preserve">összegű eredmény </w:t>
      </w:r>
      <w:r w:rsidRPr="002B576F">
        <w:rPr>
          <w:rFonts w:ascii="Verdana" w:hAnsi="Verdana"/>
          <w:sz w:val="24"/>
          <w:szCs w:val="24"/>
        </w:rPr>
        <w:t>is megerősít. A megfontolt, és takarékos gazdálkodásra a jövőben is  szükség lesz, és törekedni kell, ennek megvalósítására. Pozitív tényező, hogy 2013.évben az Alapító több feladattal is megbízta társaságunkat, mely feladatok végrehajtására aláírt szerződéssel rendelkezünk.</w:t>
      </w:r>
      <w:r w:rsidR="00CA6743">
        <w:rPr>
          <w:rFonts w:ascii="Verdana" w:hAnsi="Verdana"/>
          <w:sz w:val="24"/>
          <w:szCs w:val="24"/>
        </w:rPr>
        <w:t xml:space="preserve"> Továbbá az Alapítóval szemben fennálló tartozásunk 2013.év december 31-vel rendeződött. </w:t>
      </w:r>
    </w:p>
    <w:p w:rsidR="00211B65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383480" w:rsidRPr="002B576F" w:rsidRDefault="00383480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211B65" w:rsidRDefault="00211B65" w:rsidP="00211B65">
      <w:pPr>
        <w:spacing w:before="240" w:after="0"/>
        <w:jc w:val="both"/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b/>
          <w:sz w:val="24"/>
          <w:szCs w:val="24"/>
        </w:rPr>
        <w:t xml:space="preserve">A megkötött Vállalkozási szerződések </w:t>
      </w:r>
      <w:r w:rsidR="0047295B">
        <w:rPr>
          <w:rFonts w:ascii="Verdana" w:hAnsi="Verdana"/>
          <w:b/>
          <w:sz w:val="24"/>
          <w:szCs w:val="24"/>
        </w:rPr>
        <w:t xml:space="preserve">a teljesség igénye nélkül </w:t>
      </w:r>
      <w:r w:rsidRPr="002B576F">
        <w:rPr>
          <w:rFonts w:ascii="Verdana" w:hAnsi="Verdana"/>
          <w:b/>
          <w:sz w:val="24"/>
          <w:szCs w:val="24"/>
        </w:rPr>
        <w:t>az alábbiak;</w:t>
      </w:r>
    </w:p>
    <w:p w:rsidR="00383480" w:rsidRPr="002B576F" w:rsidRDefault="00383480" w:rsidP="00211B65">
      <w:pPr>
        <w:spacing w:before="240" w:after="0"/>
        <w:jc w:val="both"/>
        <w:rPr>
          <w:rFonts w:ascii="Verdana" w:hAnsi="Verdana"/>
          <w:b/>
          <w:sz w:val="24"/>
          <w:szCs w:val="24"/>
        </w:rPr>
      </w:pPr>
    </w:p>
    <w:p w:rsidR="00211B65" w:rsidRPr="002B576F" w:rsidRDefault="00211B65" w:rsidP="00211B65">
      <w:pPr>
        <w:numPr>
          <w:ilvl w:val="0"/>
          <w:numId w:val="1"/>
        </w:num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Integrált Városfejlesztési Stratégia III. akcióterületi terv és projekt adatlap elkészítése, </w:t>
      </w:r>
      <w:r w:rsidRPr="002B576F">
        <w:rPr>
          <w:rFonts w:ascii="Verdana" w:hAnsi="Verdana"/>
          <w:b/>
          <w:sz w:val="24"/>
          <w:szCs w:val="24"/>
        </w:rPr>
        <w:t>szerződött összeg 5.000.000-Ft. + 27% ÁFA</w:t>
      </w:r>
    </w:p>
    <w:p w:rsidR="00211B65" w:rsidRPr="002B576F" w:rsidRDefault="00211B65" w:rsidP="00211B65">
      <w:pPr>
        <w:numPr>
          <w:ilvl w:val="0"/>
          <w:numId w:val="1"/>
        </w:num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>Integrált Településfejlesztési Stratégiát megalapozó operatív fejlesztési terv elkészítése, látványtervekkel</w:t>
      </w:r>
      <w:r w:rsidRPr="002B576F">
        <w:rPr>
          <w:rFonts w:ascii="Verdana" w:hAnsi="Verdana"/>
          <w:b/>
          <w:sz w:val="24"/>
          <w:szCs w:val="24"/>
        </w:rPr>
        <w:t>, szerződött összeg 12.850.000-Ft.+ 27% ÁFA</w:t>
      </w:r>
    </w:p>
    <w:p w:rsidR="00211B65" w:rsidRPr="002B576F" w:rsidRDefault="00211B65" w:rsidP="00211B65">
      <w:pPr>
        <w:numPr>
          <w:ilvl w:val="0"/>
          <w:numId w:val="1"/>
        </w:num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b/>
          <w:sz w:val="24"/>
          <w:szCs w:val="24"/>
        </w:rPr>
        <w:t>„Szombathely város kerékpárút-hálózatának fejlesztése Gyöngyösszőlős-Gyöngyös- hermán városrészeken”című NYDOP-4.3.1/B-11-2011-0002 azonosító számú</w:t>
      </w:r>
      <w:r w:rsidRPr="002B576F">
        <w:rPr>
          <w:rFonts w:ascii="Verdana" w:hAnsi="Verdana"/>
          <w:sz w:val="24"/>
          <w:szCs w:val="24"/>
        </w:rPr>
        <w:t xml:space="preserve"> projekt, projektmenedzsmenti szolgáltatás feladatainak elvégzésére megkötött szerződés; </w:t>
      </w:r>
      <w:r w:rsidRPr="002B576F">
        <w:rPr>
          <w:rFonts w:ascii="Verdana" w:hAnsi="Verdana"/>
          <w:b/>
          <w:sz w:val="24"/>
          <w:szCs w:val="24"/>
        </w:rPr>
        <w:t>szerződött összeg 1.550.000-Ft. + 27% ÁFA</w:t>
      </w:r>
    </w:p>
    <w:p w:rsidR="00211B65" w:rsidRDefault="00211B65" w:rsidP="00211B65">
      <w:pPr>
        <w:numPr>
          <w:ilvl w:val="0"/>
          <w:numId w:val="1"/>
        </w:numPr>
        <w:spacing w:before="240" w:after="0"/>
        <w:jc w:val="both"/>
        <w:rPr>
          <w:rFonts w:ascii="Verdana" w:hAnsi="Verdana"/>
          <w:b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Műszaki ellenőrzési feladatok elvégzésére megkötött élő szerződéssel rendelkezünk, </w:t>
      </w:r>
      <w:r w:rsidRPr="002B576F">
        <w:rPr>
          <w:rFonts w:ascii="Verdana" w:hAnsi="Verdana"/>
          <w:b/>
          <w:sz w:val="24"/>
          <w:szCs w:val="24"/>
        </w:rPr>
        <w:t>szerződött összege 4.480.000-Ft. + 27% ÁFA</w:t>
      </w:r>
    </w:p>
    <w:p w:rsidR="000A79CA" w:rsidRDefault="000A79CA" w:rsidP="00211B65">
      <w:pPr>
        <w:numPr>
          <w:ilvl w:val="0"/>
          <w:numId w:val="1"/>
        </w:numPr>
        <w:spacing w:before="24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IVS III. „Új Városliget építése Szombathelyen” </w:t>
      </w:r>
      <w:r w:rsidRPr="000A79CA">
        <w:rPr>
          <w:rFonts w:ascii="Verdana" w:hAnsi="Verdana"/>
          <w:sz w:val="24"/>
          <w:szCs w:val="24"/>
        </w:rPr>
        <w:t>elnevezésű projekt tervezési feladatainak</w:t>
      </w:r>
      <w:r>
        <w:rPr>
          <w:rFonts w:ascii="Verdana" w:hAnsi="Verdana"/>
          <w:b/>
          <w:sz w:val="24"/>
          <w:szCs w:val="24"/>
        </w:rPr>
        <w:t xml:space="preserve"> </w:t>
      </w:r>
      <w:r w:rsidRPr="000A79CA">
        <w:rPr>
          <w:rFonts w:ascii="Verdana" w:hAnsi="Verdana"/>
          <w:sz w:val="24"/>
          <w:szCs w:val="24"/>
        </w:rPr>
        <w:t>ellátása, valamint annak koordinálása</w:t>
      </w:r>
      <w:r>
        <w:rPr>
          <w:rFonts w:ascii="Verdana" w:hAnsi="Verdana"/>
          <w:sz w:val="24"/>
          <w:szCs w:val="24"/>
        </w:rPr>
        <w:t>.</w:t>
      </w:r>
      <w:r w:rsidRPr="000A79CA">
        <w:rPr>
          <w:rFonts w:ascii="Verdana" w:hAnsi="Verdana"/>
          <w:sz w:val="24"/>
          <w:szCs w:val="24"/>
        </w:rPr>
        <w:t xml:space="preserve"> </w:t>
      </w:r>
    </w:p>
    <w:p w:rsidR="00383480" w:rsidRDefault="00383480" w:rsidP="00383480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383480" w:rsidRDefault="00383480" w:rsidP="00383480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383480" w:rsidRDefault="00383480" w:rsidP="00383480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383480" w:rsidRPr="000A79CA" w:rsidRDefault="00383480" w:rsidP="00383480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383480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>A társaság jövőbeni működés</w:t>
      </w:r>
      <w:r w:rsidR="00CA6743">
        <w:rPr>
          <w:rFonts w:ascii="Verdana" w:hAnsi="Verdana"/>
          <w:sz w:val="24"/>
          <w:szCs w:val="24"/>
        </w:rPr>
        <w:t>é</w:t>
      </w:r>
      <w:r w:rsidRPr="002B576F">
        <w:rPr>
          <w:rFonts w:ascii="Verdana" w:hAnsi="Verdana"/>
          <w:sz w:val="24"/>
          <w:szCs w:val="24"/>
        </w:rPr>
        <w:t>hez</w:t>
      </w:r>
      <w:r w:rsidR="00CA6743">
        <w:rPr>
          <w:rFonts w:ascii="Verdana" w:hAnsi="Verdana"/>
          <w:sz w:val="24"/>
          <w:szCs w:val="24"/>
        </w:rPr>
        <w:t xml:space="preserve"> továbbra is</w:t>
      </w:r>
      <w:r w:rsidRPr="002B576F">
        <w:rPr>
          <w:rFonts w:ascii="Verdana" w:hAnsi="Verdana"/>
          <w:sz w:val="24"/>
          <w:szCs w:val="24"/>
        </w:rPr>
        <w:t xml:space="preserve"> elengedhetetlenül szükséges az Alapító támogatása, segítőkészsége, oly módon, hogy az Önkormányzati feladatok, /különös tekintettel a pályázatokra </w:t>
      </w:r>
      <w:r w:rsidRPr="002B576F">
        <w:rPr>
          <w:rFonts w:ascii="Verdana" w:hAnsi="Verdana"/>
          <w:b/>
          <w:sz w:val="24"/>
          <w:szCs w:val="24"/>
        </w:rPr>
        <w:t>IVS II; IVS III</w:t>
      </w:r>
      <w:r w:rsidRPr="002B576F">
        <w:rPr>
          <w:rFonts w:ascii="Verdana" w:hAnsi="Verdana"/>
          <w:sz w:val="24"/>
          <w:szCs w:val="24"/>
        </w:rPr>
        <w:t>; valamint ezen kívül jelentkező, a társaság tevékenységi körébe beilleszthető szolgáltatások/ végrehajtására, a Savaria Városfejlesztési társaságot bízza meg.  A társaság heterogén tevékenységi köre, a rendelkezésre álló</w:t>
      </w:r>
      <w:r w:rsidR="00CA6743">
        <w:rPr>
          <w:rFonts w:ascii="Verdana" w:hAnsi="Verdana"/>
          <w:sz w:val="24"/>
          <w:szCs w:val="24"/>
        </w:rPr>
        <w:t xml:space="preserve"> humán erőforrás</w:t>
      </w:r>
      <w:r w:rsidRPr="002B576F">
        <w:rPr>
          <w:rFonts w:ascii="Verdana" w:hAnsi="Verdana"/>
          <w:sz w:val="24"/>
          <w:szCs w:val="24"/>
        </w:rPr>
        <w:t xml:space="preserve">, lehetőséget ad arra, hogy sokrétű feladatokat lásson el, </w:t>
      </w:r>
      <w:r w:rsidR="00CA6743">
        <w:rPr>
          <w:rFonts w:ascii="Verdana" w:hAnsi="Verdana"/>
          <w:sz w:val="24"/>
          <w:szCs w:val="24"/>
        </w:rPr>
        <w:t xml:space="preserve">megfelelő szakmai színvonalon, </w:t>
      </w:r>
      <w:r w:rsidRPr="002B576F">
        <w:rPr>
          <w:rFonts w:ascii="Verdana" w:hAnsi="Verdana"/>
          <w:sz w:val="24"/>
          <w:szCs w:val="24"/>
        </w:rPr>
        <w:t>a hatékony és az eredményes gazdálkodás érdekében</w:t>
      </w:r>
      <w:r w:rsidR="00CA6743">
        <w:rPr>
          <w:rFonts w:ascii="Verdana" w:hAnsi="Verdana"/>
          <w:sz w:val="24"/>
          <w:szCs w:val="24"/>
        </w:rPr>
        <w:t>.</w:t>
      </w:r>
      <w:r w:rsidRPr="002B576F">
        <w:rPr>
          <w:rFonts w:ascii="Verdana" w:hAnsi="Verdana"/>
          <w:sz w:val="24"/>
          <w:szCs w:val="24"/>
        </w:rPr>
        <w:t xml:space="preserve"> </w:t>
      </w:r>
    </w:p>
    <w:p w:rsidR="00211B65" w:rsidRPr="002B576F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 </w:t>
      </w:r>
    </w:p>
    <w:p w:rsidR="00211B65" w:rsidRPr="002B576F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 w:rsidRPr="002B576F">
        <w:rPr>
          <w:rFonts w:ascii="Verdana" w:hAnsi="Verdana"/>
          <w:sz w:val="24"/>
          <w:szCs w:val="24"/>
        </w:rPr>
        <w:t xml:space="preserve"> </w:t>
      </w:r>
    </w:p>
    <w:p w:rsidR="00211B65" w:rsidRPr="002B576F" w:rsidRDefault="002B576F" w:rsidP="00211B65">
      <w:pPr>
        <w:pStyle w:val="Norml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Szombathely, 2014</w:t>
      </w:r>
      <w:r w:rsidR="00211B65" w:rsidRPr="002B576F">
        <w:rPr>
          <w:rFonts w:ascii="Verdana" w:hAnsi="Verdana"/>
          <w:szCs w:val="24"/>
        </w:rPr>
        <w:t xml:space="preserve">. </w:t>
      </w:r>
      <w:r>
        <w:rPr>
          <w:rFonts w:ascii="Verdana" w:hAnsi="Verdana"/>
          <w:szCs w:val="24"/>
        </w:rPr>
        <w:t>április 03</w:t>
      </w:r>
      <w:r w:rsidR="00211B65" w:rsidRPr="002B576F">
        <w:rPr>
          <w:rFonts w:ascii="Verdana" w:hAnsi="Verdana"/>
          <w:szCs w:val="24"/>
        </w:rPr>
        <w:t>.</w:t>
      </w:r>
    </w:p>
    <w:p w:rsidR="00211B65" w:rsidRPr="002B576F" w:rsidRDefault="00211B65" w:rsidP="00211B65">
      <w:pPr>
        <w:pStyle w:val="Norml1"/>
        <w:rPr>
          <w:rFonts w:ascii="Verdana" w:hAnsi="Verdana"/>
          <w:szCs w:val="24"/>
        </w:rPr>
      </w:pPr>
    </w:p>
    <w:p w:rsidR="00211B65" w:rsidRPr="002B576F" w:rsidRDefault="00211B65" w:rsidP="00211B65">
      <w:pPr>
        <w:pStyle w:val="Norml1"/>
        <w:rPr>
          <w:rFonts w:ascii="Verdana" w:hAnsi="Verdana"/>
          <w:szCs w:val="24"/>
        </w:rPr>
      </w:pPr>
    </w:p>
    <w:p w:rsidR="00211B65" w:rsidRPr="002B576F" w:rsidRDefault="00211B65" w:rsidP="00211B65">
      <w:pPr>
        <w:pStyle w:val="Norml1"/>
        <w:rPr>
          <w:rFonts w:ascii="Verdana" w:hAnsi="Verdana"/>
          <w:szCs w:val="24"/>
        </w:rPr>
      </w:pPr>
    </w:p>
    <w:p w:rsidR="00211B65" w:rsidRPr="002B576F" w:rsidRDefault="00211B65" w:rsidP="00211B65">
      <w:pPr>
        <w:pStyle w:val="Norml1"/>
        <w:rPr>
          <w:rFonts w:ascii="Verdana" w:hAnsi="Verdana"/>
          <w:szCs w:val="24"/>
        </w:rPr>
      </w:pPr>
    </w:p>
    <w:p w:rsidR="00211B65" w:rsidRPr="002B576F" w:rsidRDefault="00211B65" w:rsidP="00211B65">
      <w:pPr>
        <w:pStyle w:val="Norml1"/>
        <w:tabs>
          <w:tab w:val="left" w:pos="5529"/>
        </w:tabs>
        <w:rPr>
          <w:rFonts w:ascii="Verdana" w:hAnsi="Verdana"/>
          <w:szCs w:val="24"/>
        </w:rPr>
      </w:pPr>
      <w:r w:rsidRPr="002B576F">
        <w:rPr>
          <w:rFonts w:ascii="Verdana" w:hAnsi="Verdana"/>
          <w:szCs w:val="24"/>
        </w:rPr>
        <w:tab/>
        <w:t>………………………</w:t>
      </w:r>
    </w:p>
    <w:p w:rsidR="00211B65" w:rsidRPr="002B576F" w:rsidRDefault="00211B65" w:rsidP="00211B65">
      <w:pPr>
        <w:pStyle w:val="Norml1"/>
        <w:tabs>
          <w:tab w:val="left" w:pos="5954"/>
        </w:tabs>
        <w:rPr>
          <w:rFonts w:ascii="Verdana" w:hAnsi="Verdana"/>
          <w:szCs w:val="24"/>
        </w:rPr>
      </w:pPr>
      <w:r w:rsidRPr="002B576F">
        <w:rPr>
          <w:rFonts w:ascii="Verdana" w:hAnsi="Verdana"/>
          <w:szCs w:val="24"/>
        </w:rPr>
        <w:tab/>
        <w:t>Benkő János</w:t>
      </w:r>
    </w:p>
    <w:p w:rsidR="00211B65" w:rsidRPr="002B576F" w:rsidRDefault="00211B65" w:rsidP="00211B65">
      <w:pPr>
        <w:pStyle w:val="Norml1"/>
        <w:tabs>
          <w:tab w:val="left" w:pos="6096"/>
        </w:tabs>
        <w:rPr>
          <w:rFonts w:ascii="Verdana" w:hAnsi="Verdana"/>
          <w:szCs w:val="24"/>
        </w:rPr>
      </w:pPr>
      <w:r w:rsidRPr="002B576F">
        <w:rPr>
          <w:rFonts w:ascii="Verdana" w:hAnsi="Verdana"/>
          <w:szCs w:val="24"/>
        </w:rPr>
        <w:tab/>
        <w:t>ügyvezető</w:t>
      </w:r>
    </w:p>
    <w:p w:rsidR="00211B65" w:rsidRPr="002B576F" w:rsidRDefault="00211B65" w:rsidP="00211B65">
      <w:pPr>
        <w:tabs>
          <w:tab w:val="left" w:pos="5245"/>
        </w:tabs>
        <w:rPr>
          <w:rFonts w:ascii="Verdana" w:hAnsi="Verdana"/>
          <w:sz w:val="24"/>
          <w:szCs w:val="24"/>
        </w:rPr>
      </w:pPr>
    </w:p>
    <w:p w:rsidR="00211B65" w:rsidRPr="002B576F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211B65" w:rsidRPr="002B576F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:rsidR="00211B65" w:rsidRPr="00383480" w:rsidRDefault="00211B65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211B65" w:rsidRPr="00383480" w:rsidRDefault="00211B65" w:rsidP="00211B65">
      <w:pPr>
        <w:spacing w:before="240" w:after="0"/>
        <w:jc w:val="both"/>
        <w:rPr>
          <w:rFonts w:ascii="Verdana" w:hAnsi="Verdana"/>
          <w:sz w:val="24"/>
          <w:szCs w:val="24"/>
        </w:rPr>
      </w:pPr>
      <w:r w:rsidRPr="00383480">
        <w:rPr>
          <w:rFonts w:ascii="Verdana" w:hAnsi="Verdana"/>
          <w:sz w:val="24"/>
          <w:szCs w:val="24"/>
        </w:rPr>
        <w:tab/>
      </w:r>
      <w:r w:rsidRPr="00383480">
        <w:rPr>
          <w:rFonts w:ascii="Verdana" w:hAnsi="Verdana"/>
          <w:sz w:val="24"/>
          <w:szCs w:val="24"/>
        </w:rPr>
        <w:tab/>
      </w:r>
      <w:r w:rsidRPr="00383480">
        <w:rPr>
          <w:rFonts w:ascii="Verdana" w:hAnsi="Verdana"/>
          <w:sz w:val="24"/>
          <w:szCs w:val="24"/>
        </w:rPr>
        <w:tab/>
      </w:r>
      <w:r w:rsidRPr="00383480">
        <w:rPr>
          <w:rFonts w:ascii="Verdana" w:hAnsi="Verdana"/>
          <w:sz w:val="24"/>
          <w:szCs w:val="24"/>
        </w:rPr>
        <w:tab/>
      </w:r>
    </w:p>
    <w:p w:rsidR="00211B65" w:rsidRPr="00383480" w:rsidRDefault="00211B65" w:rsidP="00211B65">
      <w:pPr>
        <w:spacing w:after="0"/>
        <w:jc w:val="both"/>
        <w:rPr>
          <w:rFonts w:ascii="Verdana" w:hAnsi="Verdana"/>
          <w:sz w:val="24"/>
          <w:szCs w:val="24"/>
        </w:rPr>
      </w:pPr>
      <w:r w:rsidRPr="00383480">
        <w:rPr>
          <w:rFonts w:ascii="Verdana" w:hAnsi="Verdana"/>
          <w:sz w:val="24"/>
          <w:szCs w:val="24"/>
        </w:rPr>
        <w:t xml:space="preserve">Mellékletek: </w:t>
      </w:r>
    </w:p>
    <w:p w:rsidR="00211B65" w:rsidRPr="00383480" w:rsidRDefault="00383480" w:rsidP="00211B65">
      <w:pPr>
        <w:pStyle w:val="Listaszerbekezds"/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 w:rsidRPr="00383480">
        <w:rPr>
          <w:rFonts w:ascii="Verdana" w:hAnsi="Verdana"/>
          <w:sz w:val="24"/>
          <w:szCs w:val="24"/>
        </w:rPr>
        <w:t xml:space="preserve">2013. </w:t>
      </w:r>
      <w:r w:rsidR="00211B65" w:rsidRPr="00383480">
        <w:rPr>
          <w:rFonts w:ascii="Verdana" w:hAnsi="Verdana"/>
          <w:sz w:val="24"/>
          <w:szCs w:val="24"/>
        </w:rPr>
        <w:t xml:space="preserve">évi Mérleg Beszámoló                   </w:t>
      </w:r>
    </w:p>
    <w:p w:rsidR="00211B65" w:rsidRPr="00383480" w:rsidRDefault="00211B65" w:rsidP="00211B65">
      <w:pPr>
        <w:pStyle w:val="Listaszerbekezds"/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 w:rsidRPr="00383480">
        <w:rPr>
          <w:rFonts w:ascii="Verdana" w:hAnsi="Verdana"/>
          <w:sz w:val="24"/>
          <w:szCs w:val="24"/>
        </w:rPr>
        <w:t xml:space="preserve">Kiegészítő melléklet </w:t>
      </w:r>
    </w:p>
    <w:p w:rsidR="00211B65" w:rsidRPr="00383480" w:rsidRDefault="00211B65" w:rsidP="00211B65">
      <w:pPr>
        <w:pStyle w:val="Listaszerbekezds"/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 w:rsidRPr="00383480">
        <w:rPr>
          <w:rFonts w:ascii="Verdana" w:hAnsi="Verdana"/>
          <w:sz w:val="24"/>
          <w:szCs w:val="24"/>
        </w:rPr>
        <w:t xml:space="preserve">FEB határozat </w:t>
      </w:r>
    </w:p>
    <w:p w:rsidR="00211B65" w:rsidRPr="00383480" w:rsidRDefault="00211B65" w:rsidP="00211B65">
      <w:pPr>
        <w:pStyle w:val="Listaszerbekezds"/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 w:rsidRPr="00383480">
        <w:rPr>
          <w:rFonts w:ascii="Verdana" w:hAnsi="Verdana"/>
          <w:sz w:val="24"/>
          <w:szCs w:val="24"/>
        </w:rPr>
        <w:t>Szöveges értékelés</w:t>
      </w:r>
    </w:p>
    <w:p w:rsidR="00211B65" w:rsidRPr="00383480" w:rsidRDefault="00211B65">
      <w:pPr>
        <w:rPr>
          <w:rFonts w:ascii="Verdana" w:hAnsi="Verdana"/>
          <w:sz w:val="24"/>
          <w:szCs w:val="24"/>
        </w:rPr>
      </w:pPr>
    </w:p>
    <w:sectPr w:rsidR="00211B65" w:rsidRPr="00383480" w:rsidSect="00B07B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51" w:rsidRDefault="00B34651" w:rsidP="00211B65">
      <w:pPr>
        <w:spacing w:after="0" w:line="240" w:lineRule="auto"/>
      </w:pPr>
      <w:r>
        <w:separator/>
      </w:r>
    </w:p>
  </w:endnote>
  <w:endnote w:type="continuationSeparator" w:id="0">
    <w:p w:rsidR="00B34651" w:rsidRDefault="00B34651" w:rsidP="0021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184"/>
      <w:docPartObj>
        <w:docPartGallery w:val="Page Numbers (Bottom of Page)"/>
        <w:docPartUnique/>
      </w:docPartObj>
    </w:sdtPr>
    <w:sdtEndPr/>
    <w:sdtContent>
      <w:p w:rsidR="006925D7" w:rsidRDefault="002F3E7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25D7" w:rsidRDefault="006925D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51" w:rsidRDefault="00B34651" w:rsidP="00211B65">
      <w:pPr>
        <w:spacing w:after="0" w:line="240" w:lineRule="auto"/>
      </w:pPr>
      <w:r>
        <w:separator/>
      </w:r>
    </w:p>
  </w:footnote>
  <w:footnote w:type="continuationSeparator" w:id="0">
    <w:p w:rsidR="00B34651" w:rsidRDefault="00B34651" w:rsidP="0021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B01"/>
    <w:multiLevelType w:val="hybridMultilevel"/>
    <w:tmpl w:val="51B03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72BEF"/>
    <w:multiLevelType w:val="hybridMultilevel"/>
    <w:tmpl w:val="A7DEA26A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FE83AAF"/>
    <w:multiLevelType w:val="hybridMultilevel"/>
    <w:tmpl w:val="C9B6C4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65"/>
    <w:rsid w:val="0009153C"/>
    <w:rsid w:val="000A79CA"/>
    <w:rsid w:val="000C77E1"/>
    <w:rsid w:val="001340A7"/>
    <w:rsid w:val="00190E78"/>
    <w:rsid w:val="00192DDC"/>
    <w:rsid w:val="001C4032"/>
    <w:rsid w:val="001D4AA2"/>
    <w:rsid w:val="00211B65"/>
    <w:rsid w:val="0021534A"/>
    <w:rsid w:val="00253794"/>
    <w:rsid w:val="002B576F"/>
    <w:rsid w:val="002F3E76"/>
    <w:rsid w:val="00323423"/>
    <w:rsid w:val="00345C7C"/>
    <w:rsid w:val="00383480"/>
    <w:rsid w:val="003B6FA7"/>
    <w:rsid w:val="003E259E"/>
    <w:rsid w:val="0047295B"/>
    <w:rsid w:val="005714C0"/>
    <w:rsid w:val="00597A62"/>
    <w:rsid w:val="005A0153"/>
    <w:rsid w:val="006925D7"/>
    <w:rsid w:val="00830FAD"/>
    <w:rsid w:val="00891076"/>
    <w:rsid w:val="009C6060"/>
    <w:rsid w:val="009F0A14"/>
    <w:rsid w:val="00A632F2"/>
    <w:rsid w:val="00A87E13"/>
    <w:rsid w:val="00AC1A22"/>
    <w:rsid w:val="00B07B46"/>
    <w:rsid w:val="00B34651"/>
    <w:rsid w:val="00B93D99"/>
    <w:rsid w:val="00C35946"/>
    <w:rsid w:val="00C42124"/>
    <w:rsid w:val="00C96B78"/>
    <w:rsid w:val="00CA6743"/>
    <w:rsid w:val="00CB7EFF"/>
    <w:rsid w:val="00CD557E"/>
    <w:rsid w:val="00D053F7"/>
    <w:rsid w:val="00D2469D"/>
    <w:rsid w:val="00D70DA7"/>
    <w:rsid w:val="00DA2C5D"/>
    <w:rsid w:val="00E177D2"/>
    <w:rsid w:val="00E550A5"/>
    <w:rsid w:val="00EA2DF0"/>
    <w:rsid w:val="00F3444A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B6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1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21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11B6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1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B65"/>
    <w:rPr>
      <w:rFonts w:ascii="Calibri" w:eastAsia="Calibri" w:hAnsi="Calibri" w:cs="Times New Roman"/>
    </w:rPr>
  </w:style>
  <w:style w:type="paragraph" w:customStyle="1" w:styleId="Norml1">
    <w:name w:val="Normál1"/>
    <w:rsid w:val="00211B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1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B6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1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21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11B6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1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B65"/>
    <w:rPr>
      <w:rFonts w:ascii="Calibri" w:eastAsia="Calibri" w:hAnsi="Calibri" w:cs="Times New Roman"/>
    </w:rPr>
  </w:style>
  <w:style w:type="paragraph" w:customStyle="1" w:styleId="Norml1">
    <w:name w:val="Normál1"/>
    <w:rsid w:val="00211B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1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1419</Words>
  <Characters>9794</Characters>
  <Application>Microsoft Office Word</Application>
  <DocSecurity>4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Szabó Viktória dr.</cp:lastModifiedBy>
  <cp:revision>2</cp:revision>
  <dcterms:created xsi:type="dcterms:W3CDTF">2014-04-04T09:48:00Z</dcterms:created>
  <dcterms:modified xsi:type="dcterms:W3CDTF">2014-04-04T09:48:00Z</dcterms:modified>
</cp:coreProperties>
</file>