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81" w:rsidRPr="00DD5087" w:rsidRDefault="002F7181" w:rsidP="00BA5722">
      <w:pPr>
        <w:pStyle w:val="Cmsor21"/>
        <w:jc w:val="center"/>
        <w:rPr>
          <w:b/>
          <w:sz w:val="40"/>
        </w:rPr>
      </w:pPr>
      <w:r w:rsidRPr="00DD5087">
        <w:rPr>
          <w:b/>
          <w:sz w:val="40"/>
        </w:rPr>
        <w:t>KIEGÉSZITŐ MELLÉKLET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Cmsor31"/>
        <w:rPr>
          <w:b/>
        </w:rPr>
      </w:pPr>
      <w:r>
        <w:rPr>
          <w:b/>
        </w:rPr>
        <w:t>A társaság neve: SAVARIA VÁROSFEJLESZTÉSI NONPROFIT KFT</w:t>
      </w:r>
    </w:p>
    <w:p w:rsidR="002F7181" w:rsidRDefault="002F7181" w:rsidP="00BA5722">
      <w:pPr>
        <w:pStyle w:val="Norml1"/>
      </w:pPr>
    </w:p>
    <w:p w:rsidR="002F7181" w:rsidRPr="008661CA" w:rsidRDefault="002F7181" w:rsidP="00BA5722">
      <w:pPr>
        <w:pStyle w:val="Norml1"/>
        <w:numPr>
          <w:ilvl w:val="0"/>
          <w:numId w:val="3"/>
        </w:numPr>
      </w:pPr>
      <w:r w:rsidRPr="008661CA">
        <w:rPr>
          <w:b/>
        </w:rPr>
        <w:t>A Társaság bemutatása</w:t>
      </w:r>
    </w:p>
    <w:p w:rsidR="002F7181" w:rsidRPr="008661CA" w:rsidRDefault="002F7181" w:rsidP="00BA5722">
      <w:pPr>
        <w:pStyle w:val="Norml1"/>
        <w:ind w:left="720"/>
      </w:pPr>
    </w:p>
    <w:p w:rsidR="002F7181" w:rsidRDefault="002F7181" w:rsidP="00BA5722">
      <w:pPr>
        <w:pStyle w:val="Norml1"/>
        <w:numPr>
          <w:ilvl w:val="1"/>
          <w:numId w:val="2"/>
        </w:numPr>
        <w:rPr>
          <w:b/>
        </w:rPr>
      </w:pPr>
      <w:r w:rsidRPr="00EF7975">
        <w:rPr>
          <w:b/>
        </w:rPr>
        <w:t>Alakulás, a gazdálkodás fő célja</w:t>
      </w:r>
    </w:p>
    <w:p w:rsidR="002F7181" w:rsidRPr="00EF7975" w:rsidRDefault="002F7181" w:rsidP="00BA5722">
      <w:pPr>
        <w:pStyle w:val="Norml1"/>
        <w:ind w:left="360"/>
        <w:rPr>
          <w:b/>
        </w:rPr>
      </w:pPr>
    </w:p>
    <w:p w:rsidR="002F7181" w:rsidRDefault="002F7181" w:rsidP="00BA5722">
      <w:pPr>
        <w:pStyle w:val="Norml1"/>
        <w:jc w:val="both"/>
      </w:pPr>
      <w:r>
        <w:t xml:space="preserve">Szombathely Megyei Jogú Város Közgyűlése megtárgyalta, és az előterjesztés szerint jóváhagyta a Savaria Városfejlesztési KFT. Alapító Okirat módosítását a 89/2013.(II.28.) számú Közgyűlési határozatával. </w:t>
      </w:r>
    </w:p>
    <w:p w:rsidR="002F7181" w:rsidRDefault="002F7181" w:rsidP="00BA5722">
      <w:pPr>
        <w:pStyle w:val="Norml1"/>
      </w:pPr>
      <w:r>
        <w:t>A gazdálkodó létrehozásának célja:</w:t>
      </w:r>
    </w:p>
    <w:p w:rsidR="002F7181" w:rsidRDefault="002F7181" w:rsidP="00BA5722">
      <w:pPr>
        <w:pStyle w:val="Norml1"/>
        <w:jc w:val="both"/>
      </w:pPr>
      <w:r>
        <w:t>Az alapító az Ötv. 8. §-ában meghatározott településfejlesztési feladatainak ellátására, a területi alapú város rehabilitációval és városfejlesztéssel kapcsolatos tevékenységek, és a rehabilitációval kapcsolatos közcélú szervezési-lebonyolítási feladatok végzését, a kijelölt területek rehabilitációs városfejlesztési eszközökkel történő megújítását tűzte a társaság céljául. Ennek keretében az alapító alapvető célja, és érdeke a meglévő közterületek megújítása, új közterületek, zöldfelületek kialakítása, az épületállomány felújítása, a felújításra alkalmatlan épületek, és üres telkek egyéb módon történő fejlesztése, korszerű infrastruktúra kialakítása.</w:t>
      </w:r>
    </w:p>
    <w:p w:rsidR="002F7181" w:rsidRDefault="002F7181" w:rsidP="00BA5722">
      <w:pPr>
        <w:pStyle w:val="Norml1"/>
        <w:jc w:val="both"/>
      </w:pPr>
      <w:r>
        <w:t>A társaság az alapító által kijelölt rehabilitációs akcióterületek teljes körű fejlesztéséhez kapcsolódó feladatokat látja el, ennek keretében többek között elkészíti, és felülvizsgálja az akcióterületi tervet, koordinálja a gazdasági partnereket, az építési tevékenységet, továbbá adminisztratív, információs feladatokat is ellát.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>1.2 Főbb szervezeti változások</w:t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>Működési forma: Nonprofit Korlátolt Felelősségű Társaság</w:t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jc w:val="both"/>
      </w:pPr>
      <w:r>
        <w:t>A beszámolási időszakban a társaság működési formája Nonprofit Korlátolt Felelősségű Társaságra módosult.</w:t>
      </w:r>
    </w:p>
    <w:p w:rsidR="002F7181" w:rsidRDefault="002F7181" w:rsidP="00BA5722">
      <w:pPr>
        <w:pStyle w:val="Norml1"/>
        <w:jc w:val="both"/>
      </w:pPr>
      <w:r>
        <w:t xml:space="preserve"> A Kft. a beszámolási időszakban rendszeres gazdasági tevékenységet a székhelyén kívül nem folytatott.</w:t>
      </w:r>
    </w:p>
    <w:p w:rsidR="002F7181" w:rsidRDefault="002F7181" w:rsidP="00BA5722">
      <w:pPr>
        <w:pStyle w:val="Norml1"/>
      </w:pPr>
    </w:p>
    <w:p w:rsidR="002F7181" w:rsidRPr="00A11E78" w:rsidRDefault="002F7181" w:rsidP="00BA5722">
      <w:pPr>
        <w:pStyle w:val="Norml1"/>
        <w:jc w:val="both"/>
      </w:pPr>
      <w:r>
        <w:t xml:space="preserve">A számviteli beszámoló, és az ahhoz kapcsolódó kiegészítő mellékletek, jelentések a jogszabályok által előírt nyilvánosságon túl, a székhelyén is mindenki számára megtekinthető. 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 xml:space="preserve">1.3 </w:t>
      </w:r>
      <w:r w:rsidRPr="00EF7975">
        <w:rPr>
          <w:b/>
        </w:rPr>
        <w:t>Tevékenységi kör</w:t>
      </w:r>
    </w:p>
    <w:p w:rsidR="002F7181" w:rsidRPr="00EF7975" w:rsidRDefault="002F7181" w:rsidP="00BA5722">
      <w:pPr>
        <w:pStyle w:val="Norml1"/>
        <w:ind w:left="360"/>
        <w:rPr>
          <w:b/>
        </w:rPr>
      </w:pPr>
    </w:p>
    <w:p w:rsidR="002F7181" w:rsidRDefault="002F7181" w:rsidP="00BA5722">
      <w:pPr>
        <w:pStyle w:val="Norml1"/>
        <w:jc w:val="both"/>
      </w:pPr>
      <w:r>
        <w:t>A Társaság fő-tevékenységi köre / TEÁOR száma/:</w:t>
      </w:r>
    </w:p>
    <w:p w:rsidR="002F7181" w:rsidRDefault="002F7181" w:rsidP="00BA5722">
      <w:pPr>
        <w:pStyle w:val="Norml1"/>
        <w:jc w:val="both"/>
      </w:pPr>
      <w:r>
        <w:t xml:space="preserve">      </w:t>
      </w:r>
    </w:p>
    <w:p w:rsidR="002F7181" w:rsidRDefault="002F7181" w:rsidP="00BA5722">
      <w:pPr>
        <w:pStyle w:val="Norml1"/>
        <w:jc w:val="both"/>
      </w:pPr>
      <w:r>
        <w:t>7490: Máshova nem sorolható egyéb szakmai, tudományos, műszaki tevékenység.</w:t>
      </w:r>
    </w:p>
    <w:p w:rsidR="002F7181" w:rsidRPr="007949D5" w:rsidRDefault="002F7181" w:rsidP="00BA5722">
      <w:pPr>
        <w:pStyle w:val="Norml1"/>
        <w:jc w:val="both"/>
      </w:pPr>
    </w:p>
    <w:p w:rsidR="002F7181" w:rsidRPr="00EF7975" w:rsidRDefault="002F7181" w:rsidP="00BA5722">
      <w:pPr>
        <w:pStyle w:val="Norml1"/>
        <w:rPr>
          <w:b/>
        </w:rPr>
      </w:pPr>
      <w:r>
        <w:rPr>
          <w:b/>
        </w:rPr>
        <w:t>1.4</w:t>
      </w:r>
      <w:r w:rsidRPr="00EF7975">
        <w:rPr>
          <w:b/>
        </w:rPr>
        <w:t xml:space="preserve"> Cím</w:t>
      </w:r>
    </w:p>
    <w:p w:rsidR="002F7181" w:rsidRPr="00F1187A" w:rsidRDefault="002F7181" w:rsidP="00BA5722">
      <w:pPr>
        <w:pStyle w:val="Norml1"/>
        <w:jc w:val="both"/>
        <w:rPr>
          <w:szCs w:val="24"/>
        </w:rPr>
      </w:pPr>
      <w:r w:rsidRPr="00F1187A">
        <w:rPr>
          <w:szCs w:val="24"/>
        </w:rPr>
        <w:t>A Társaság cégbejegyzés szerinti székhelye</w:t>
      </w:r>
      <w:r w:rsidRPr="00F1187A">
        <w:rPr>
          <w:b/>
          <w:szCs w:val="24"/>
        </w:rPr>
        <w:t>:</w:t>
      </w:r>
      <w:r w:rsidRPr="00F1187A">
        <w:rPr>
          <w:szCs w:val="24"/>
        </w:rPr>
        <w:t xml:space="preserve"> 9700 Szombathely, Fő tér 23-2 szám.</w:t>
      </w:r>
    </w:p>
    <w:p w:rsidR="002F7181" w:rsidRDefault="002F7181" w:rsidP="00BA5722"/>
    <w:p w:rsidR="002F7181" w:rsidRDefault="002F7181" w:rsidP="00BA5722">
      <w:r>
        <w:br w:type="page"/>
      </w:r>
    </w:p>
    <w:p w:rsidR="002F7181" w:rsidRDefault="002F7181" w:rsidP="00BA5722">
      <w:pPr>
        <w:pStyle w:val="BodyText"/>
        <w:jc w:val="both"/>
        <w:rPr>
          <w:b/>
          <w:sz w:val="24"/>
        </w:rPr>
      </w:pPr>
      <w:r w:rsidRPr="00EF7975">
        <w:rPr>
          <w:b/>
          <w:sz w:val="24"/>
        </w:rPr>
        <w:t>1.</w:t>
      </w:r>
      <w:r>
        <w:rPr>
          <w:b/>
          <w:sz w:val="24"/>
        </w:rPr>
        <w:t>5</w:t>
      </w:r>
      <w:r w:rsidRPr="00EF7975">
        <w:rPr>
          <w:b/>
          <w:sz w:val="24"/>
        </w:rPr>
        <w:t xml:space="preserve"> Tulajdonosok</w:t>
      </w:r>
    </w:p>
    <w:p w:rsidR="002F7181" w:rsidRDefault="002F7181" w:rsidP="00BA5722">
      <w:pPr>
        <w:pStyle w:val="BodyText"/>
        <w:jc w:val="both"/>
        <w:rPr>
          <w:b/>
          <w:sz w:val="24"/>
        </w:rPr>
      </w:pPr>
    </w:p>
    <w:p w:rsidR="002F7181" w:rsidRDefault="002F7181" w:rsidP="00BA5722">
      <w:pPr>
        <w:pStyle w:val="BodyText"/>
        <w:jc w:val="both"/>
        <w:rPr>
          <w:sz w:val="24"/>
        </w:rPr>
      </w:pPr>
      <w:r>
        <w:rPr>
          <w:sz w:val="24"/>
        </w:rPr>
        <w:t>A Társaság tulajdonosa:</w:t>
      </w:r>
    </w:p>
    <w:p w:rsidR="002F7181" w:rsidRPr="004117F2" w:rsidRDefault="002F7181" w:rsidP="00BA5722">
      <w:pPr>
        <w:pStyle w:val="BodyText"/>
        <w:jc w:val="both"/>
        <w:rPr>
          <w:b/>
          <w:sz w:val="24"/>
        </w:rPr>
      </w:pPr>
      <w:r w:rsidRPr="004117F2">
        <w:rPr>
          <w:b/>
          <w:sz w:val="24"/>
        </w:rPr>
        <w:t>Szombathely Megyei Jogú Város Önkormányzata</w:t>
      </w:r>
    </w:p>
    <w:p w:rsidR="002F7181" w:rsidRDefault="002F7181" w:rsidP="00BA5722">
      <w:pPr>
        <w:pStyle w:val="BodyText"/>
        <w:jc w:val="both"/>
        <w:rPr>
          <w:sz w:val="24"/>
        </w:rPr>
      </w:pPr>
    </w:p>
    <w:p w:rsidR="002F7181" w:rsidRPr="00EF7975" w:rsidRDefault="002F7181" w:rsidP="00BA5722">
      <w:pPr>
        <w:pStyle w:val="Norml1"/>
        <w:jc w:val="both"/>
        <w:rPr>
          <w:b/>
        </w:rPr>
      </w:pPr>
      <w:r w:rsidRPr="00EF7975">
        <w:rPr>
          <w:b/>
        </w:rPr>
        <w:t>1.</w:t>
      </w:r>
      <w:r>
        <w:rPr>
          <w:b/>
        </w:rPr>
        <w:t>6</w:t>
      </w:r>
      <w:r w:rsidRPr="00EF7975">
        <w:rPr>
          <w:b/>
        </w:rPr>
        <w:t xml:space="preserve"> Ügyvezető</w:t>
      </w:r>
      <w:r>
        <w:rPr>
          <w:b/>
        </w:rPr>
        <w:t xml:space="preserve">:             </w:t>
      </w:r>
      <w:r w:rsidRPr="004117F2">
        <w:rPr>
          <w:b/>
        </w:rPr>
        <w:t>Benkő János</w:t>
      </w:r>
    </w:p>
    <w:p w:rsidR="002F7181" w:rsidRDefault="002F7181" w:rsidP="00BA5722">
      <w:pPr>
        <w:pStyle w:val="Norml1"/>
        <w:jc w:val="both"/>
      </w:pPr>
    </w:p>
    <w:p w:rsidR="002F7181" w:rsidRDefault="002F7181" w:rsidP="00CC0F61">
      <w:pPr>
        <w:pStyle w:val="BodyText"/>
        <w:tabs>
          <w:tab w:val="left" w:pos="426"/>
        </w:tabs>
        <w:jc w:val="both"/>
      </w:pPr>
      <w:r>
        <w:rPr>
          <w:sz w:val="24"/>
        </w:rPr>
        <w:tab/>
      </w:r>
      <w:r w:rsidRPr="00F40ED9">
        <w:rPr>
          <w:b/>
          <w:sz w:val="24"/>
          <w:szCs w:val="24"/>
        </w:rPr>
        <w:t>A társaság ügyvezetése:</w:t>
      </w:r>
      <w:r w:rsidRPr="00F40ED9"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2F7181" w:rsidRDefault="002F7181" w:rsidP="00CC0F61">
      <w:pPr>
        <w:pStyle w:val="Norml1"/>
        <w:tabs>
          <w:tab w:val="left" w:pos="426"/>
        </w:tabs>
      </w:pPr>
      <w:r>
        <w:tab/>
        <w:t>A mérlegbeszámoló aláírására az ügyvezető jogosult.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ind w:left="2160" w:firstLine="720"/>
      </w:pPr>
    </w:p>
    <w:p w:rsidR="002F7181" w:rsidRPr="0085035B" w:rsidRDefault="002F7181" w:rsidP="00BA5722">
      <w:pPr>
        <w:pStyle w:val="Norml1"/>
        <w:numPr>
          <w:ilvl w:val="0"/>
          <w:numId w:val="3"/>
        </w:numPr>
        <w:rPr>
          <w:b/>
        </w:rPr>
      </w:pPr>
      <w:r w:rsidRPr="0085035B">
        <w:rPr>
          <w:b/>
        </w:rPr>
        <w:t>A számviteli politika alkalmazása</w:t>
      </w:r>
    </w:p>
    <w:p w:rsidR="002F7181" w:rsidRDefault="002F7181" w:rsidP="00BA5722">
      <w:pPr>
        <w:pStyle w:val="Norml1"/>
        <w:ind w:left="720"/>
      </w:pPr>
    </w:p>
    <w:p w:rsidR="002F7181" w:rsidRPr="00EF7975" w:rsidRDefault="002F7181" w:rsidP="00BA5722">
      <w:pPr>
        <w:pStyle w:val="Norml1"/>
        <w:ind w:left="720"/>
        <w:rPr>
          <w:b/>
          <w:u w:val="single"/>
        </w:rPr>
      </w:pPr>
    </w:p>
    <w:p w:rsidR="002F7181" w:rsidRDefault="002F7181" w:rsidP="00BA5722">
      <w:pPr>
        <w:pStyle w:val="Norml1"/>
        <w:numPr>
          <w:ilvl w:val="1"/>
          <w:numId w:val="3"/>
        </w:numPr>
        <w:ind w:left="426" w:hanging="426"/>
        <w:jc w:val="both"/>
        <w:rPr>
          <w:b/>
        </w:rPr>
      </w:pPr>
      <w:r>
        <w:rPr>
          <w:b/>
        </w:rPr>
        <w:t>Könyvvezetés módja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Default="002F7181" w:rsidP="00BA5722">
      <w:pPr>
        <w:pStyle w:val="BodyText"/>
        <w:jc w:val="both"/>
        <w:rPr>
          <w:sz w:val="24"/>
        </w:rPr>
      </w:pPr>
      <w:r>
        <w:rPr>
          <w:sz w:val="24"/>
        </w:rPr>
        <w:t xml:space="preserve">A társaság a számvitelről szóló 2000. évi C. tv. 12. § (3) bekezdése alapján </w:t>
      </w:r>
      <w:r w:rsidRPr="00331273">
        <w:rPr>
          <w:b/>
          <w:sz w:val="24"/>
        </w:rPr>
        <w:t>kettős</w:t>
      </w:r>
      <w:r>
        <w:rPr>
          <w:sz w:val="24"/>
        </w:rPr>
        <w:t xml:space="preserve"> </w:t>
      </w:r>
      <w:r>
        <w:rPr>
          <w:b/>
          <w:sz w:val="24"/>
        </w:rPr>
        <w:t>könyvvitel vezetésére kötelezett</w:t>
      </w:r>
      <w:r>
        <w:rPr>
          <w:sz w:val="24"/>
        </w:rPr>
        <w:t>.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Default="002F7181" w:rsidP="00BA5722">
      <w:pPr>
        <w:pStyle w:val="Norml1"/>
        <w:numPr>
          <w:ilvl w:val="1"/>
          <w:numId w:val="3"/>
        </w:numPr>
        <w:ind w:left="426" w:hanging="426"/>
        <w:jc w:val="both"/>
        <w:rPr>
          <w:b/>
        </w:rPr>
      </w:pPr>
      <w:r>
        <w:rPr>
          <w:b/>
        </w:rPr>
        <w:t>Könyvvezetés pénzneme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Pr="00B76F90" w:rsidRDefault="002F7181" w:rsidP="00BA5722">
      <w:pPr>
        <w:pStyle w:val="Norml1"/>
        <w:jc w:val="both"/>
      </w:pPr>
      <w:r w:rsidRPr="00B76F90">
        <w:t>A Társaság könyveit magyar nyelven, forintban, a kettős könyvvitel elvei</w:t>
      </w:r>
      <w:r>
        <w:t>,</w:t>
      </w:r>
      <w:r w:rsidRPr="00B76F90">
        <w:t xml:space="preserve"> és szabályai szerint vezet</w:t>
      </w:r>
      <w:r>
        <w:t>i</w:t>
      </w:r>
      <w:r w:rsidRPr="00B76F90">
        <w:t>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numPr>
          <w:ilvl w:val="1"/>
          <w:numId w:val="3"/>
        </w:numPr>
        <w:ind w:left="426" w:hanging="426"/>
        <w:jc w:val="both"/>
        <w:rPr>
          <w:b/>
        </w:rPr>
      </w:pPr>
      <w:r>
        <w:rPr>
          <w:b/>
        </w:rPr>
        <w:t xml:space="preserve"> Könyvvizsgálat</w:t>
      </w:r>
    </w:p>
    <w:p w:rsidR="002F7181" w:rsidRDefault="002F7181" w:rsidP="00BA5722">
      <w:pPr>
        <w:pStyle w:val="Norml1"/>
        <w:jc w:val="both"/>
      </w:pPr>
    </w:p>
    <w:p w:rsidR="002F7181" w:rsidRPr="00B76F90" w:rsidRDefault="002F7181" w:rsidP="00BA5722">
      <w:pPr>
        <w:pStyle w:val="Norml1"/>
        <w:jc w:val="both"/>
      </w:pPr>
      <w:r>
        <w:t>A Társaság könyvvizsgálatra kötelezett.</w:t>
      </w:r>
    </w:p>
    <w:p w:rsidR="002F7181" w:rsidRDefault="002F7181" w:rsidP="00BA5722">
      <w:pPr>
        <w:pStyle w:val="Norml1"/>
        <w:jc w:val="both"/>
      </w:pPr>
      <w:r w:rsidRPr="00F40ED9">
        <w:rPr>
          <w:b/>
        </w:rPr>
        <w:t>A társaság könyvvizsgálója:</w:t>
      </w:r>
      <w:r>
        <w:rPr>
          <w:b/>
        </w:rPr>
        <w:t xml:space="preserve"> </w:t>
      </w:r>
      <w:r>
        <w:t xml:space="preserve">KÖSZ KFT.  </w:t>
      </w:r>
    </w:p>
    <w:p w:rsidR="002F7181" w:rsidRDefault="002F7181" w:rsidP="00BA5722">
      <w:pPr>
        <w:pStyle w:val="Norml1"/>
        <w:ind w:left="2160" w:firstLine="720"/>
        <w:jc w:val="both"/>
      </w:pPr>
      <w:r>
        <w:t>Kamarai tagsági szám: 000969.</w:t>
      </w:r>
    </w:p>
    <w:p w:rsidR="002F7181" w:rsidRDefault="002F7181" w:rsidP="00BA5722">
      <w:pPr>
        <w:pStyle w:val="Norml1"/>
        <w:ind w:left="2160" w:firstLine="720"/>
        <w:jc w:val="both"/>
      </w:pPr>
      <w:r w:rsidRPr="00B975CA">
        <w:rPr>
          <w:b/>
        </w:rPr>
        <w:t>Kövesdi Anita Erzsébet</w:t>
      </w:r>
      <w:r>
        <w:t>, könyvvizsgáló</w:t>
      </w:r>
    </w:p>
    <w:p w:rsidR="002F7181" w:rsidRDefault="002F7181" w:rsidP="00BA5722">
      <w:pPr>
        <w:pStyle w:val="Norml1"/>
        <w:ind w:left="2160" w:firstLine="720"/>
        <w:jc w:val="both"/>
      </w:pPr>
      <w:r>
        <w:t>Kamarai tagsági szám: 004914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  <w:rPr>
          <w:b/>
        </w:rPr>
      </w:pPr>
      <w:r w:rsidRPr="005C1AB6">
        <w:rPr>
          <w:b/>
        </w:rPr>
        <w:t>2.3.1.</w:t>
      </w:r>
      <w:r>
        <w:rPr>
          <w:b/>
        </w:rPr>
        <w:t xml:space="preserve"> Könyvelést végezte: PROMPT Könyvelőiroda és Könyvvizsgáló KFT.</w:t>
      </w:r>
    </w:p>
    <w:p w:rsidR="002F7181" w:rsidRDefault="002F7181" w:rsidP="00BA5722">
      <w:pPr>
        <w:pStyle w:val="Norml1"/>
        <w:tabs>
          <w:tab w:val="left" w:pos="2694"/>
        </w:tabs>
        <w:jc w:val="both"/>
      </w:pPr>
      <w:r>
        <w:rPr>
          <w:b/>
        </w:rPr>
        <w:tab/>
        <w:t xml:space="preserve">Adószáma: </w:t>
      </w:r>
      <w:r w:rsidRPr="00520640">
        <w:t>10694668-2-18</w:t>
      </w:r>
    </w:p>
    <w:p w:rsidR="002F7181" w:rsidRDefault="002F7181" w:rsidP="00BA5722">
      <w:pPr>
        <w:pStyle w:val="Norml1"/>
        <w:tabs>
          <w:tab w:val="left" w:pos="2694"/>
        </w:tabs>
        <w:jc w:val="both"/>
      </w:pPr>
      <w:r>
        <w:tab/>
        <w:t>Molnár István a társaság ügyvezetője</w:t>
      </w:r>
    </w:p>
    <w:p w:rsidR="002F7181" w:rsidRDefault="002F7181" w:rsidP="00BA5722">
      <w:pPr>
        <w:pStyle w:val="Norml1"/>
        <w:tabs>
          <w:tab w:val="left" w:pos="2694"/>
        </w:tabs>
        <w:jc w:val="both"/>
      </w:pPr>
      <w:r>
        <w:tab/>
        <w:t>Kamarai tagsági szám:002321</w:t>
      </w:r>
    </w:p>
    <w:p w:rsidR="002F7181" w:rsidRPr="00AC4E09" w:rsidRDefault="002F7181" w:rsidP="00BA5722">
      <w:pPr>
        <w:pStyle w:val="Norml1"/>
        <w:jc w:val="both"/>
      </w:pPr>
    </w:p>
    <w:p w:rsidR="002F7181" w:rsidRPr="00B76F90" w:rsidRDefault="002F7181" w:rsidP="00BA5722">
      <w:pPr>
        <w:pStyle w:val="Norml1"/>
        <w:jc w:val="both"/>
        <w:rPr>
          <w:b/>
        </w:rPr>
      </w:pPr>
      <w:r>
        <w:rPr>
          <w:b/>
        </w:rPr>
        <w:t>2.4 Beszámoló formája és típusa</w:t>
      </w:r>
    </w:p>
    <w:p w:rsidR="002F7181" w:rsidRDefault="002F7181" w:rsidP="00BA5722">
      <w:pPr>
        <w:pStyle w:val="BodyText"/>
        <w:jc w:val="both"/>
        <w:rPr>
          <w:b/>
          <w:sz w:val="24"/>
        </w:rPr>
      </w:pPr>
    </w:p>
    <w:p w:rsidR="002F7181" w:rsidRDefault="002F7181" w:rsidP="00BA5722">
      <w:pPr>
        <w:pStyle w:val="BodyText"/>
        <w:jc w:val="both"/>
        <w:rPr>
          <w:sz w:val="24"/>
        </w:rPr>
      </w:pPr>
      <w:r>
        <w:rPr>
          <w:b/>
          <w:sz w:val="24"/>
        </w:rPr>
        <w:t>A beszámoló formája</w:t>
      </w:r>
      <w:r>
        <w:rPr>
          <w:sz w:val="24"/>
        </w:rPr>
        <w:t xml:space="preserve"> egyszerűsített féléves beszámoló.</w:t>
      </w:r>
    </w:p>
    <w:p w:rsidR="002F7181" w:rsidRDefault="002F7181" w:rsidP="00BA5722">
      <w:pPr>
        <w:pStyle w:val="BodyText"/>
        <w:jc w:val="both"/>
        <w:rPr>
          <w:sz w:val="24"/>
        </w:rPr>
      </w:pPr>
      <w:r>
        <w:rPr>
          <w:sz w:val="24"/>
        </w:rPr>
        <w:t xml:space="preserve">     </w:t>
      </w:r>
    </w:p>
    <w:p w:rsidR="002F7181" w:rsidRDefault="002F7181" w:rsidP="00BA5722">
      <w:pPr>
        <w:pStyle w:val="Norml1"/>
        <w:jc w:val="both"/>
      </w:pPr>
      <w:r>
        <w:t>A társaság a mérleg előírt tagolását a számviteli törvény 1. sz. melléklete A mérleg előírt tagolása „A” változat szerint,  az eredménykimutatását  az 2. sz.  melléklet  szerinti  „A” változat  (összköltség eljárással) szerint  készíti el.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  <w:rPr>
          <w:b/>
        </w:rPr>
      </w:pPr>
      <w:r>
        <w:rPr>
          <w:b/>
        </w:rPr>
        <w:t>2.5 Üzleti év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Default="002F7181" w:rsidP="00BA5722">
      <w:pPr>
        <w:pStyle w:val="Norml1"/>
        <w:jc w:val="both"/>
      </w:pPr>
      <w:r>
        <w:t>Jelen beszámoló a 2013.01.01-2013.06.30 időszakot öleli fel.</w:t>
      </w:r>
    </w:p>
    <w:p w:rsidR="002F7181" w:rsidRDefault="002F7181" w:rsidP="00BA5722">
      <w:pPr>
        <w:pStyle w:val="Norml1"/>
        <w:jc w:val="both"/>
      </w:pPr>
    </w:p>
    <w:p w:rsidR="002F7181" w:rsidRPr="00B76F90" w:rsidRDefault="002F7181" w:rsidP="00BA5722">
      <w:pPr>
        <w:pStyle w:val="Norml1"/>
        <w:jc w:val="both"/>
        <w:rPr>
          <w:b/>
        </w:rPr>
      </w:pPr>
      <w:r>
        <w:rPr>
          <w:b/>
        </w:rPr>
        <w:t>2.6 Jelentős összegű hibák értelmezése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  <w:r>
        <w:t xml:space="preserve">A társaságnál </w:t>
      </w:r>
      <w:r>
        <w:rPr>
          <w:b/>
        </w:rPr>
        <w:t>jelentős összegű a hiba</w:t>
      </w:r>
      <w:r>
        <w:t>, ha a hiba feltárásának évében a megállapított hibák, hibahatások eredményt, saját tőkét növelő-csökkentő értékének együttes összege meghaladja az ellenőrzött üzleti év mérleg főösszegének 2 %-át, illetve ha ez meghaladja az 500 millió Ft-ot, akkor az 500 millió Ft.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  <w:rPr>
          <w:b/>
        </w:rPr>
      </w:pPr>
      <w:r>
        <w:rPr>
          <w:b/>
        </w:rPr>
        <w:t>2.7 Lényeges hibák értelmezése</w:t>
      </w:r>
    </w:p>
    <w:p w:rsidR="002F7181" w:rsidRPr="00B76F90" w:rsidRDefault="002F7181" w:rsidP="00BA5722">
      <w:pPr>
        <w:pStyle w:val="Norml1"/>
        <w:ind w:left="360"/>
        <w:jc w:val="both"/>
        <w:rPr>
          <w:b/>
        </w:rPr>
      </w:pPr>
    </w:p>
    <w:p w:rsidR="002F7181" w:rsidRDefault="002F7181" w:rsidP="00BA5722">
      <w:pPr>
        <w:pStyle w:val="Norml1"/>
        <w:jc w:val="both"/>
      </w:pPr>
      <w:r>
        <w:rPr>
          <w:b/>
        </w:rPr>
        <w:t>A megbízható, és valós képet lényegesen befolyásoló hibának</w:t>
      </w:r>
      <w:r>
        <w:t xml:space="preserve"> kell tekinteni, ha a megállapítások következtében a hiba feltárásának évét megelőző üzleti év mérlegében kimutatott saját tőke legalább 20 %-kal változik.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  <w:rPr>
          <w:b/>
        </w:rPr>
      </w:pPr>
      <w:r>
        <w:rPr>
          <w:b/>
        </w:rPr>
        <w:t>2.8 Ismételt közzététel alkalmazása</w:t>
      </w:r>
    </w:p>
    <w:p w:rsidR="002F7181" w:rsidRPr="00B76F90" w:rsidRDefault="002F7181" w:rsidP="00BA5722">
      <w:pPr>
        <w:pStyle w:val="Norml1"/>
        <w:jc w:val="both"/>
        <w:rPr>
          <w:b/>
        </w:rPr>
      </w:pPr>
    </w:p>
    <w:p w:rsidR="002F7181" w:rsidRDefault="002F7181" w:rsidP="00BA5722">
      <w:pPr>
        <w:pStyle w:val="Norml1"/>
        <w:jc w:val="both"/>
      </w:pPr>
      <w:r>
        <w:t>A megbízható és valós képet lényegesen befolyásoló, jelentős összegű hibák feltárása esetén a feltárás évét megelőző üzleti év beszámolóját az eredeti és a módosított adatok bemutatásával, a módosítások kiemelésével a tárgyévi beszámoló közzétételét megelőzően ismételten közzé kell tenni.</w:t>
      </w:r>
    </w:p>
    <w:p w:rsidR="002F7181" w:rsidRDefault="002F7181" w:rsidP="00BA5722">
      <w:pPr>
        <w:pStyle w:val="Norml1"/>
        <w:jc w:val="both"/>
      </w:pPr>
      <w:r>
        <w:t>A hibák egyes üzleti évekre gyakorolt hatását ebben az esetben a tárgyévi beszámoló kiegészítő mellékletben kell kimutatni.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  <w:r>
        <w:rPr>
          <w:b/>
        </w:rPr>
        <w:t>2.9 Értékcsökkenési leírás elszámolása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  <w:rPr>
          <w:b/>
        </w:rPr>
      </w:pPr>
      <w:r>
        <w:rPr>
          <w:b/>
        </w:rPr>
        <w:t xml:space="preserve">Értékcsökkenési leírás módja 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Pr="00B805D3" w:rsidRDefault="002F7181" w:rsidP="00BA5722">
      <w:pPr>
        <w:pStyle w:val="Norml1"/>
        <w:jc w:val="both"/>
      </w:pPr>
      <w:r>
        <w:t>Az évenként elszámolandó értékcsökkenés megtervezése- az egyedi eszköz várható használata, ebből adódó élettartama, fizikai és erkölcsi avulása, az egyéb körülmények és a tervezett maradványérték figyelembevételével-általában az eszköz bekerülési (bruttó) értékének arányában történik. Az értékcsökkenési leírás elszámolása időarányosan (lineáris leírási mórszerrel) történik.</w:t>
      </w:r>
    </w:p>
    <w:p w:rsidR="002F7181" w:rsidRDefault="002F7181" w:rsidP="00BA5722">
      <w:pPr>
        <w:pStyle w:val="western"/>
      </w:pPr>
      <w:r w:rsidRPr="00E5569A">
        <w:rPr>
          <w:iCs/>
          <w:color w:val="000000"/>
        </w:rPr>
        <w:t>Az 100 ezer Ft egyedi beszerzési ár alatti tárgyi eszközök értékét a társaság a használatba vételkor értékcsökkenési leírásként egy</w:t>
      </w:r>
      <w:r>
        <w:rPr>
          <w:iCs/>
          <w:color w:val="000000"/>
        </w:rPr>
        <w:t xml:space="preserve"> </w:t>
      </w:r>
      <w:r w:rsidRPr="00E5569A">
        <w:rPr>
          <w:iCs/>
          <w:color w:val="000000"/>
        </w:rPr>
        <w:t xml:space="preserve">összegben elszámolja. </w:t>
      </w:r>
    </w:p>
    <w:p w:rsidR="002F7181" w:rsidRDefault="002F7181" w:rsidP="00BA5722">
      <w:pPr>
        <w:pStyle w:val="western"/>
        <w:jc w:val="both"/>
        <w:rPr>
          <w:color w:val="000000"/>
        </w:rPr>
      </w:pPr>
      <w:r>
        <w:rPr>
          <w:b/>
          <w:bCs/>
          <w:color w:val="000000"/>
        </w:rPr>
        <w:t>Terven felüli értékcsökkenést</w:t>
      </w:r>
      <w:r>
        <w:rPr>
          <w:color w:val="000000"/>
        </w:rPr>
        <w:t xml:space="preserve"> kötelező elszámolni akkor, ha a használatban lévő immateriális javak, tárgyi eszközök (ide nem értve a beruházást) könyv szerinti értéke a mérlegkészítés időpontjában tartósan és jelentősen magasabb, mint ezen eszközök piaci értéke. Terven felüli értékcsökkenést kell elszámolni akkor is, ha a szellemi termék, a tárgyi eszköz (ideértve a beruházást is) értéke tartósan lecsökkent, ha feleslegessé vált, hiányzik, megsemmisült, ha a vagyoni értékű jog csak korlátozottan vagy egyáltalán nem érvényesíthető, illetve ha a befejezett kísérleti fejlesztés révén megvalósuló tevékenységet korlátozzák, megszüntetik vagy az eredménytelen lesz. Abban az esetben, ha terven felüli értékcsökkenést számoltunk el egy eszközre és a későbbiekben kiderül, hogy az eszköz piaci értéke több mint a könyv szerinti nettó érték, akkor a korábban elszámolt terven felüli leírást vissza kell írni az egyéb bevétellel szemben.</w:t>
      </w:r>
    </w:p>
    <w:p w:rsidR="002F7181" w:rsidRDefault="002F7181" w:rsidP="00BA5722">
      <w:pPr>
        <w:pStyle w:val="western"/>
        <w:jc w:val="both"/>
        <w:rPr>
          <w:color w:val="000000"/>
        </w:rPr>
      </w:pPr>
      <w:r>
        <w:rPr>
          <w:color w:val="000000"/>
        </w:rPr>
        <w:t>Társaságunknál 2013. év I. félévében terven felüli értékcsökkenés nem került elszámolásra.</w:t>
      </w:r>
    </w:p>
    <w:p w:rsidR="002F7181" w:rsidRDefault="002F7181" w:rsidP="00BA5722">
      <w:pPr>
        <w:pStyle w:val="western"/>
        <w:jc w:val="both"/>
        <w:rPr>
          <w:color w:val="000000"/>
        </w:rPr>
      </w:pPr>
      <w:r>
        <w:rPr>
          <w:color w:val="000000"/>
        </w:rPr>
        <w:t xml:space="preserve">Továbbá értékvesztés, értékhelyesbítés és visszaírás nem került könyvelésre. 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rPr>
          <w:color w:val="000000"/>
        </w:rPr>
        <w:t>Amennyiben a vállalkozás tevékenységét tartósan szolgáló vagyoni értékű jog, szellemi termék, tárgyi eszköz (kivéve a beruházásokat, a beruházásra adott előlegeket), tulajdoni részesedést jelentő befektetés piaci értéke jelentősen meghaladja az adott eszköznek a visszaírás utáni könyv szerinti (bekerülési) értékét. A piaci érték és a visszaírás utáni könyv szerinti (bekerülési) érték közötti különbözet a mérlegben az eszközök között „Értékhelyesbítés”-ként, a saját tőkén belül „Értékelési tartalék”-ként kimutatható.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rPr>
          <w:color w:val="000000"/>
        </w:rPr>
        <w:t>Amennyiben a befektetett eszköz piaci értéke jelentősen meghaladja a visszaírás utáni könyv szerinti értéket, ezen eszköz piaci értéken is felvehető. Ez esetben a bekerülési érték, illetve immateriális jószágnál, tárgyi eszköznél a terv szerinti értékcsökkenés figyelembe vételével meghatározott nettó érték és a piaci érték különbözetét az eszközök között értékhelyesbítésként, a források között – az értékhelyesbítés összegével azonos összegben – értékelési tartalékként lehet kimutatni.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t>Nem lehet eredményt kimutatni akkor, ha az árbevétel, a bevétel pénzügyi realizálása bizonytalan. A tárgyévi eredmény meghatározása során az értékvesztés elszámolásával, a céltartalék képzésével kell figyelembe venni az előrelátható kockázatot és feltételezhető veszteséget akkor is, ha az üzleti év mérlegének fordulónapja és a mérlegkészítés időpontja között vált ismertté. Az értékvesztéseket el kell számolni, függetlenül attól, hogy az üzleti év eredménye nyereség vagy veszteség (az óvatosság elve).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rPr>
          <w:color w:val="000000"/>
        </w:rPr>
        <w:t>A mérlegben kimutatott eredmény meghatározásakor, a mérlegtételek körültekintően elvégzett értékelése során figyelembe kell venni minden olyan értékvesztést, amely a mérleg fordulónapján meglévő eszközöket érinti, a mérlegkészítés napjáig ismertté vált.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rPr>
          <w:color w:val="000000"/>
        </w:rPr>
        <w:t>Amennyiben a leírások miatt az eszközök könyv szerinti értéke alacsonyabb ezen eszközök eredeti bekerülési értékénél és az alacsonyabb értéken való értékelés okai már nem, illetve csak részben állnak fenn, a leírásokat meg kell szüntetni, – a megbízható és valós összkép érdekében – az eszközt piaci értékére, legfeljebb a nyilvántartásba vételkor megállapított bekerülési értékére, az egyéb bevételekkel szemben vissza kell értékelni (visszaírás).</w:t>
      </w:r>
    </w:p>
    <w:p w:rsidR="002F7181" w:rsidRDefault="002F7181" w:rsidP="00BA5722">
      <w:pPr>
        <w:pStyle w:val="NormalWeb"/>
        <w:jc w:val="both"/>
        <w:rPr>
          <w:rFonts w:ascii="Verdana" w:hAnsi="Verdana"/>
          <w:sz w:val="15"/>
          <w:szCs w:val="15"/>
        </w:rPr>
      </w:pPr>
      <w:r>
        <w:rPr>
          <w:color w:val="000000"/>
        </w:rPr>
        <w:t>Amennyiben az üzleti év mérlegforduló napján az egyedi eszköz piaci értéke jelentősen meghaladja a könyv szerinti értékét, akkor a különbözet összegével csökkenteni kell az elszámolt értékvesztés összegét és az egyéb bevételekkel szemben növelni kell az adott eszköz könyv szerinti értékét</w:t>
      </w:r>
      <w:r>
        <w:rPr>
          <w:i/>
          <w:iCs/>
          <w:color w:val="000000"/>
        </w:rPr>
        <w:t>.</w:t>
      </w:r>
    </w:p>
    <w:p w:rsidR="002F7181" w:rsidRPr="00A1521E" w:rsidRDefault="002F7181" w:rsidP="00BA5722">
      <w:pPr>
        <w:pStyle w:val="NormalWeb"/>
        <w:jc w:val="both"/>
        <w:rPr>
          <w:color w:val="000000"/>
        </w:rPr>
      </w:pPr>
      <w:r>
        <w:rPr>
          <w:color w:val="000000"/>
        </w:rPr>
        <w:t>A különbözettel a könyv szerinti értéket az adott eszköznyilvántartásba vételekor számításba vett értékéig kell növelni (visszaírás összege). A visszaírás összege nem lehet több mint a korábban értékvesztésként elszámolt összeg.</w:t>
      </w:r>
    </w:p>
    <w:p w:rsidR="002F7181" w:rsidRDefault="002F7181" w:rsidP="00BA5722">
      <w:pPr>
        <w:pStyle w:val="Norml1"/>
        <w:jc w:val="both"/>
      </w:pPr>
      <w:r>
        <w:t>A SZT törvényi előírásaitól eltérés nem merült fel.</w:t>
      </w:r>
    </w:p>
    <w:p w:rsidR="002F7181" w:rsidRDefault="002F7181" w:rsidP="00BA5722"/>
    <w:p w:rsidR="002F7181" w:rsidRDefault="002F7181" w:rsidP="00BA5722">
      <w:r>
        <w:br w:type="page"/>
      </w:r>
    </w:p>
    <w:p w:rsidR="002F7181" w:rsidRPr="00BA5722" w:rsidRDefault="002F7181" w:rsidP="00BA5722">
      <w:pPr>
        <w:pStyle w:val="Cmsor41"/>
        <w:jc w:val="center"/>
        <w:rPr>
          <w:spacing w:val="30"/>
          <w:sz w:val="32"/>
          <w:szCs w:val="32"/>
        </w:rPr>
      </w:pPr>
      <w:r w:rsidRPr="00BA5722">
        <w:rPr>
          <w:spacing w:val="30"/>
          <w:sz w:val="32"/>
          <w:szCs w:val="32"/>
        </w:rPr>
        <w:t>MÉRLEGHEZ KAPCSOLÓDÓ KIEGÉSZITÉSEK</w:t>
      </w:r>
    </w:p>
    <w:p w:rsidR="002F7181" w:rsidRDefault="002F7181" w:rsidP="00BA5722">
      <w:pPr>
        <w:pStyle w:val="Norml1"/>
        <w:rPr>
          <w:sz w:val="28"/>
        </w:rPr>
      </w:pPr>
    </w:p>
    <w:p w:rsidR="002F7181" w:rsidRDefault="002F7181" w:rsidP="00BA5722">
      <w:pPr>
        <w:pStyle w:val="Norml1"/>
      </w:pPr>
    </w:p>
    <w:p w:rsidR="002F7181" w:rsidRPr="00946777" w:rsidRDefault="002F7181" w:rsidP="00BA5722">
      <w:pPr>
        <w:pStyle w:val="Cmsor51"/>
        <w:jc w:val="center"/>
        <w:rPr>
          <w:spacing w:val="30"/>
          <w:szCs w:val="28"/>
          <w:u w:val="none"/>
        </w:rPr>
      </w:pPr>
      <w:r w:rsidRPr="00946777">
        <w:rPr>
          <w:spacing w:val="30"/>
          <w:szCs w:val="28"/>
          <w:u w:val="none"/>
        </w:rPr>
        <w:t>I. ESZKÖZÖK ÉRTÉKELÉSE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946777" w:rsidRDefault="002F7181" w:rsidP="00BA5722">
      <w:pPr>
        <w:pStyle w:val="Cmsor11"/>
        <w:numPr>
          <w:ilvl w:val="0"/>
          <w:numId w:val="8"/>
        </w:numPr>
        <w:rPr>
          <w:b/>
          <w:szCs w:val="24"/>
          <w:u w:val="none"/>
        </w:rPr>
      </w:pPr>
      <w:r w:rsidRPr="00946777">
        <w:rPr>
          <w:b/>
          <w:szCs w:val="24"/>
          <w:u w:val="none"/>
        </w:rPr>
        <w:t>Befektetett eszközök</w:t>
      </w:r>
    </w:p>
    <w:p w:rsidR="002F7181" w:rsidRPr="006F5A02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1E0DB5" w:rsidRDefault="002F7181" w:rsidP="00BA5722">
      <w:pPr>
        <w:pStyle w:val="Norml1"/>
        <w:jc w:val="both"/>
        <w:rPr>
          <w:rFonts w:ascii="Calibri" w:hAnsi="Calibri"/>
        </w:rPr>
      </w:pPr>
      <w:r>
        <w:t>A társaságnál a befektetett eszközök nyilvántartása, és értékelése a számviteli törvénynek megfelelően - a terv szerinti amortizációval csökkentett tényleges beszerzési értéken – nettó értéken történik.</w:t>
      </w:r>
    </w:p>
    <w:p w:rsidR="002F7181" w:rsidRDefault="002F7181" w:rsidP="00BA5722">
      <w:pPr>
        <w:pStyle w:val="Norml1"/>
        <w:jc w:val="both"/>
      </w:pPr>
      <w:r>
        <w:t xml:space="preserve">Az értékcsökkenés elszámolása a bruttó érték után terv szerinti értékcsökkenéssel, lineáris módszer alkalmazásával történik a számviteli politikában leírtaknak megfelelően havonta.  </w:t>
      </w:r>
    </w:p>
    <w:p w:rsidR="002F7181" w:rsidRDefault="002F7181" w:rsidP="00BA5722">
      <w:pPr>
        <w:pStyle w:val="Norml1"/>
        <w:jc w:val="both"/>
      </w:pPr>
      <w:r>
        <w:t>A 200-e.Ft. alatti eszközöket 50 %-os leírási kulccsal 2 év alatt számoljuk el.</w:t>
      </w:r>
    </w:p>
    <w:p w:rsidR="002F7181" w:rsidRDefault="002F7181" w:rsidP="00BA5722">
      <w:pPr>
        <w:pStyle w:val="Norml1"/>
        <w:jc w:val="both"/>
      </w:pPr>
      <w:r>
        <w:t>A 100-e.Ft. értékhatár alatti eszközök, amelyeknek az elhasználódási ideje egy évnél hosszabb, a használatbavételkor egy összegben értékcsökkenésként leírásra kerülnek.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tbl>
      <w:tblPr>
        <w:tblpPr w:leftFromText="141" w:rightFromText="141" w:vertAnchor="text" w:horzAnchor="margin" w:tblpXSpec="center" w:tblpY="155"/>
        <w:tblW w:w="10135" w:type="dxa"/>
        <w:tblCellMar>
          <w:left w:w="70" w:type="dxa"/>
          <w:right w:w="70" w:type="dxa"/>
        </w:tblCellMar>
        <w:tblLook w:val="00A0"/>
      </w:tblPr>
      <w:tblGrid>
        <w:gridCol w:w="650"/>
        <w:gridCol w:w="3320"/>
        <w:gridCol w:w="1203"/>
        <w:gridCol w:w="993"/>
        <w:gridCol w:w="992"/>
        <w:gridCol w:w="992"/>
        <w:gridCol w:w="904"/>
        <w:gridCol w:w="1081"/>
      </w:tblGrid>
      <w:tr w:rsidR="002F7181" w:rsidRPr="00673E72" w:rsidTr="006518A3">
        <w:trPr>
          <w:trHeight w:val="30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7181" w:rsidRPr="00946777" w:rsidRDefault="002F7181" w:rsidP="006518A3">
            <w:pPr>
              <w:jc w:val="center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Eszközök változása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2012. év 12.31.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2013.év 06.30.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változás</w:t>
            </w:r>
          </w:p>
        </w:tc>
      </w:tr>
      <w:tr w:rsidR="002F7181" w:rsidRPr="00673E72" w:rsidTr="006518A3">
        <w:trPr>
          <w:trHeight w:val="542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81" w:rsidRPr="00946777" w:rsidRDefault="002F7181" w:rsidP="006518A3">
            <w:pPr>
              <w:rPr>
                <w:b/>
                <w:noProof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ezer 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ezer 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ezer Ft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/>
                <w:noProof w:val="0"/>
                <w:sz w:val="24"/>
                <w:szCs w:val="22"/>
              </w:rPr>
            </w:pPr>
            <w:r w:rsidRPr="00C06718">
              <w:rPr>
                <w:b/>
                <w:noProof w:val="0"/>
                <w:sz w:val="24"/>
                <w:szCs w:val="22"/>
              </w:rPr>
              <w:t>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A.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 xml:space="preserve">Befektetett eszközök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1 191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7,85%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1 104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5,85%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-        87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-7,30%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D.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Saját tőke</w:t>
            </w:r>
            <w:r w:rsidRPr="00C06718">
              <w:rPr>
                <w:noProof w:val="0"/>
                <w:sz w:val="24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929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6,13%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2 701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14,30%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1 772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190,74%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I.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Jegyzett tőke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3,30%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500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2,65%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    -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0,00%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IV.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Eredménytartalék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   21 969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- 21 540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429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VII.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Mérleg szerinti eredmény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2,83%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1 772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9,38%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1 343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313,05%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E.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Céltartalékok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    -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-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F.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Kötelezettségek</w:t>
            </w:r>
            <w:r w:rsidRPr="00C06718">
              <w:rPr>
                <w:noProof w:val="0"/>
                <w:sz w:val="24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11 643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76,77%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13 331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70,59%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1 688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14,50%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II.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noProof w:val="0"/>
                <w:sz w:val="24"/>
                <w:szCs w:val="16"/>
              </w:rPr>
            </w:pPr>
            <w:r w:rsidRPr="00C06718">
              <w:rPr>
                <w:noProof w:val="0"/>
                <w:sz w:val="24"/>
                <w:szCs w:val="16"/>
              </w:rPr>
              <w:t>Rövid lejáratú kötelezettségek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11 643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76,77%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13 331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70,59%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1 688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14,50%</w:t>
            </w:r>
          </w:p>
        </w:tc>
      </w:tr>
      <w:tr w:rsidR="002F7181" w:rsidRPr="00673E72" w:rsidTr="006518A3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center"/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G.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rPr>
                <w:bCs/>
                <w:noProof w:val="0"/>
                <w:sz w:val="24"/>
                <w:szCs w:val="16"/>
              </w:rPr>
            </w:pPr>
            <w:r w:rsidRPr="00C06718">
              <w:rPr>
                <w:bCs/>
                <w:noProof w:val="0"/>
                <w:sz w:val="24"/>
                <w:szCs w:val="16"/>
              </w:rPr>
              <w:t>Passzív időbeli elhatárolások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2 594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17,10%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2 852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15,10%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 xml:space="preserve">       258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noProof w:val="0"/>
                <w:sz w:val="22"/>
                <w:szCs w:val="22"/>
              </w:rPr>
            </w:pPr>
            <w:r w:rsidRPr="00C06718">
              <w:rPr>
                <w:noProof w:val="0"/>
                <w:sz w:val="22"/>
                <w:szCs w:val="22"/>
              </w:rPr>
              <w:t>9,95%</w:t>
            </w:r>
          </w:p>
        </w:tc>
      </w:tr>
      <w:tr w:rsidR="002F7181" w:rsidRPr="00673E72" w:rsidTr="006518A3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181" w:rsidRPr="00946777" w:rsidRDefault="002F7181" w:rsidP="006518A3">
            <w:pPr>
              <w:rPr>
                <w:b/>
                <w:bCs/>
                <w:noProof w:val="0"/>
                <w:sz w:val="16"/>
                <w:szCs w:val="16"/>
              </w:rPr>
            </w:pPr>
            <w:r w:rsidRPr="00C06718">
              <w:rPr>
                <w:b/>
                <w:bCs/>
                <w:noProof w:val="0"/>
                <w:sz w:val="24"/>
                <w:szCs w:val="16"/>
              </w:rPr>
              <w:t xml:space="preserve">FORRÁSOK ÖSSZESEN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>15 166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>100,00%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 xml:space="preserve">   18 884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>100,00%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 xml:space="preserve">    3 718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C06718" w:rsidRDefault="002F7181" w:rsidP="006518A3">
            <w:pPr>
              <w:jc w:val="right"/>
              <w:rPr>
                <w:b/>
                <w:noProof w:val="0"/>
                <w:sz w:val="22"/>
                <w:szCs w:val="22"/>
              </w:rPr>
            </w:pPr>
            <w:r w:rsidRPr="00C06718">
              <w:rPr>
                <w:b/>
                <w:noProof w:val="0"/>
                <w:sz w:val="22"/>
                <w:szCs w:val="22"/>
              </w:rPr>
              <w:t>24,52%</w:t>
            </w:r>
          </w:p>
        </w:tc>
      </w:tr>
    </w:tbl>
    <w:p w:rsidR="002F7181" w:rsidRDefault="002F7181" w:rsidP="00BA5722">
      <w:pPr>
        <w:pStyle w:val="Cmsor11"/>
      </w:pPr>
      <w:r>
        <w:t xml:space="preserve"> </w:t>
      </w:r>
    </w:p>
    <w:p w:rsidR="002F7181" w:rsidRDefault="002F7181" w:rsidP="00BA5722">
      <w:pPr>
        <w:pStyle w:val="Norml1"/>
        <w:ind w:right="-991"/>
      </w:pPr>
    </w:p>
    <w:p w:rsidR="002F7181" w:rsidRDefault="002F7181" w:rsidP="00BA5722">
      <w:pPr>
        <w:pStyle w:val="Norml1"/>
        <w:ind w:right="-991"/>
      </w:pPr>
    </w:p>
    <w:p w:rsidR="002F7181" w:rsidRDefault="002F7181" w:rsidP="00BA5722">
      <w:pPr>
        <w:pStyle w:val="Norml1"/>
        <w:ind w:right="-991"/>
      </w:pPr>
    </w:p>
    <w:p w:rsidR="002F7181" w:rsidRPr="00946777" w:rsidRDefault="002F7181" w:rsidP="00E96167">
      <w:pPr>
        <w:pStyle w:val="Cmsor11"/>
        <w:numPr>
          <w:ilvl w:val="0"/>
          <w:numId w:val="8"/>
        </w:numPr>
        <w:ind w:left="709" w:hanging="283"/>
        <w:rPr>
          <w:b/>
          <w:szCs w:val="28"/>
          <w:u w:val="none"/>
        </w:rPr>
      </w:pPr>
      <w:r w:rsidRPr="00946777">
        <w:rPr>
          <w:b/>
          <w:szCs w:val="28"/>
          <w:u w:val="none"/>
        </w:rPr>
        <w:t>Forgóeszközök</w:t>
      </w:r>
    </w:p>
    <w:p w:rsidR="002F7181" w:rsidRPr="00461227" w:rsidRDefault="002F7181" w:rsidP="00BA5722">
      <w:pPr>
        <w:pStyle w:val="Norml1"/>
      </w:pPr>
    </w:p>
    <w:p w:rsidR="002F7181" w:rsidRPr="00461227" w:rsidRDefault="002F7181" w:rsidP="00BA5722">
      <w:pPr>
        <w:pStyle w:val="Cmsor11"/>
        <w:rPr>
          <w:b/>
          <w:u w:val="none"/>
        </w:rPr>
      </w:pPr>
      <w:r>
        <w:rPr>
          <w:b/>
          <w:u w:val="none"/>
        </w:rPr>
        <w:t xml:space="preserve">2.1 </w:t>
      </w:r>
      <w:r w:rsidRPr="00461227">
        <w:rPr>
          <w:b/>
          <w:u w:val="none"/>
        </w:rPr>
        <w:t xml:space="preserve">Készletek  </w:t>
      </w:r>
    </w:p>
    <w:p w:rsidR="002F7181" w:rsidRDefault="002F7181" w:rsidP="00BA5722">
      <w:pPr>
        <w:pStyle w:val="Cmsor11"/>
        <w:rPr>
          <w:b/>
        </w:rPr>
      </w:pPr>
    </w:p>
    <w:p w:rsidR="002F7181" w:rsidRPr="00E5512B" w:rsidRDefault="002F7181" w:rsidP="00BA5722">
      <w:pPr>
        <w:pStyle w:val="Cmsor11"/>
        <w:rPr>
          <w:u w:val="none"/>
        </w:rPr>
      </w:pPr>
      <w:r>
        <w:rPr>
          <w:u w:val="none"/>
        </w:rPr>
        <w:t>A Társaság készletekkel nem rendelkezik.</w:t>
      </w:r>
    </w:p>
    <w:p w:rsidR="002F7181" w:rsidRDefault="002F7181" w:rsidP="00BA5722">
      <w:pPr>
        <w:pStyle w:val="Cmsor11"/>
        <w:rPr>
          <w:b/>
        </w:rPr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0244D9" w:rsidRDefault="002F7181" w:rsidP="00BA5722">
      <w:pPr>
        <w:pStyle w:val="Norml1"/>
      </w:pPr>
    </w:p>
    <w:p w:rsidR="002F7181" w:rsidRDefault="002F7181" w:rsidP="00BA5722">
      <w:pPr>
        <w:pStyle w:val="Cmsor11"/>
        <w:rPr>
          <w:b/>
          <w:u w:val="none"/>
        </w:rPr>
      </w:pPr>
      <w:r>
        <w:rPr>
          <w:b/>
          <w:u w:val="none"/>
        </w:rPr>
        <w:t xml:space="preserve">2.2 </w:t>
      </w:r>
      <w:r w:rsidRPr="00461227">
        <w:rPr>
          <w:b/>
          <w:u w:val="none"/>
        </w:rPr>
        <w:t>Követelések</w:t>
      </w:r>
    </w:p>
    <w:p w:rsidR="002F7181" w:rsidRPr="00D22F47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 xml:space="preserve">A követelések alakulása:                      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e. Ft.</w:t>
      </w:r>
      <w:r>
        <w:rPr>
          <w:b/>
        </w:rPr>
        <w:tab/>
        <w:t xml:space="preserve">       </w:t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/>
        </w:rPr>
      </w:pPr>
      <w:r>
        <w:rPr>
          <w:b/>
        </w:rPr>
        <w:t xml:space="preserve">Megnevezés                                                     2012.év 12. 31.   </w:t>
      </w:r>
      <w:r>
        <w:rPr>
          <w:b/>
        </w:rPr>
        <w:tab/>
      </w:r>
      <w:r>
        <w:rPr>
          <w:b/>
        </w:rPr>
        <w:tab/>
        <w:t xml:space="preserve">      2013. év 06.30. </w:t>
      </w:r>
    </w:p>
    <w:p w:rsidR="002F7181" w:rsidRDefault="002F7181" w:rsidP="00BA5722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</w:pPr>
      <w:r w:rsidRPr="000C1507">
        <w:t xml:space="preserve">Követelések árusz-ból és szolg-ból(vevők)         </w:t>
      </w:r>
      <w:r>
        <w:t xml:space="preserve">      0                                                  0</w:t>
      </w:r>
    </w:p>
    <w:p w:rsidR="002F7181" w:rsidRPr="000C1507" w:rsidRDefault="002F7181" w:rsidP="00BA5722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</w:pPr>
      <w:r>
        <w:t>Egyéb követelés                                                      992                                               71</w:t>
      </w:r>
    </w:p>
    <w:p w:rsidR="002F7181" w:rsidRPr="008642E9" w:rsidRDefault="002F7181" w:rsidP="00BA5722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b/>
        </w:rPr>
      </w:pPr>
      <w:r w:rsidRPr="008642E9">
        <w:rPr>
          <w:b/>
        </w:rPr>
        <w:t xml:space="preserve">Összesen:                              </w:t>
      </w:r>
      <w:r>
        <w:rPr>
          <w:b/>
        </w:rPr>
        <w:t xml:space="preserve">                                 992                                                71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p w:rsidR="002F7181" w:rsidRPr="00360191" w:rsidRDefault="002F7181" w:rsidP="00BA5722">
      <w:pPr>
        <w:pStyle w:val="Cmsor11"/>
        <w:rPr>
          <w:b/>
          <w:u w:val="none"/>
        </w:rPr>
      </w:pPr>
      <w:r>
        <w:rPr>
          <w:u w:val="none"/>
        </w:rPr>
        <w:t xml:space="preserve">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2F7181" w:rsidRDefault="002F7181" w:rsidP="00BA5722">
      <w:pPr>
        <w:pStyle w:val="Cmsor1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u w:val="none"/>
        </w:rPr>
      </w:pPr>
      <w:r w:rsidRPr="00737935">
        <w:rPr>
          <w:b/>
          <w:u w:val="none"/>
        </w:rPr>
        <w:t>Megnevezés</w:t>
      </w:r>
      <w:r>
        <w:rPr>
          <w:u w:val="none"/>
        </w:rPr>
        <w:t xml:space="preserve">                                   </w:t>
      </w:r>
      <w:r>
        <w:rPr>
          <w:u w:val="none"/>
        </w:rPr>
        <w:tab/>
        <w:t xml:space="preserve">          </w:t>
      </w:r>
      <w:r>
        <w:rPr>
          <w:b/>
          <w:u w:val="none"/>
        </w:rPr>
        <w:t>2012. év 12. 31.                              2013. év 06.30.</w:t>
      </w:r>
    </w:p>
    <w:p w:rsidR="002F7181" w:rsidRDefault="002F7181" w:rsidP="00BA5722">
      <w:pPr>
        <w:pStyle w:val="Cmsor1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u w:val="none"/>
        </w:rPr>
      </w:pPr>
      <w:r>
        <w:rPr>
          <w:u w:val="none"/>
        </w:rPr>
        <w:t>Pénztár                                                                          4                                               30</w:t>
      </w:r>
    </w:p>
    <w:p w:rsidR="002F7181" w:rsidRDefault="002F7181" w:rsidP="00BA5722">
      <w:pPr>
        <w:pStyle w:val="Norml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Bankbetétek                                                           12.334                                       17.657</w:t>
      </w:r>
    </w:p>
    <w:p w:rsidR="002F7181" w:rsidRDefault="002F7181" w:rsidP="00BA5722">
      <w:pPr>
        <w:pStyle w:val="xl2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Összesen:                                                               14.567                                      17.687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  <w:r>
        <w:t xml:space="preserve">A pénzeszközök a tényleges értéken kerülnek vezetésre, és az értékelésük a számviteli törvény alapján a mérleg fordulónapján meglévő tényleges értéken történik. 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946777" w:rsidRDefault="002F7181" w:rsidP="00E96167">
      <w:pPr>
        <w:pStyle w:val="Cmsor11"/>
        <w:numPr>
          <w:ilvl w:val="0"/>
          <w:numId w:val="8"/>
        </w:numPr>
        <w:ind w:left="709" w:hanging="283"/>
        <w:rPr>
          <w:b/>
          <w:szCs w:val="28"/>
          <w:u w:val="none"/>
        </w:rPr>
      </w:pPr>
      <w:r w:rsidRPr="00946777">
        <w:rPr>
          <w:b/>
          <w:szCs w:val="28"/>
          <w:u w:val="none"/>
        </w:rPr>
        <w:t xml:space="preserve">Aktív időbeli elhatárolások </w:t>
      </w:r>
    </w:p>
    <w:p w:rsidR="002F7181" w:rsidRPr="0095300B" w:rsidRDefault="002F7181" w:rsidP="00BA5722">
      <w:pPr>
        <w:pStyle w:val="Norml1"/>
        <w:jc w:val="center"/>
        <w:rPr>
          <w:b/>
        </w:rPr>
      </w:pPr>
      <w:r>
        <w:t xml:space="preserve">                                                                                                                    </w:t>
      </w:r>
      <w:r w:rsidRPr="0095300B">
        <w:rPr>
          <w:b/>
        </w:rPr>
        <w:t xml:space="preserve"> e</w:t>
      </w:r>
      <w:r>
        <w:rPr>
          <w:b/>
        </w:rPr>
        <w:t>.</w:t>
      </w:r>
      <w:r w:rsidRPr="0095300B">
        <w:rPr>
          <w:b/>
        </w:rPr>
        <w:t xml:space="preserve"> Ft</w:t>
      </w:r>
      <w:r>
        <w:rPr>
          <w:b/>
        </w:rPr>
        <w:t>.</w:t>
      </w:r>
    </w:p>
    <w:p w:rsidR="002F7181" w:rsidRDefault="002F7181" w:rsidP="00BA5722">
      <w:pPr>
        <w:pStyle w:val="Norml1"/>
      </w:pPr>
      <w:r>
        <w:t xml:space="preserve">      </w:t>
      </w:r>
      <w:r>
        <w:tab/>
      </w:r>
      <w:r w:rsidRPr="001427CD">
        <w:rPr>
          <w:b/>
        </w:rPr>
        <w:t xml:space="preserve">   </w:t>
      </w: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3692"/>
        <w:gridCol w:w="4116"/>
      </w:tblGrid>
      <w:tr w:rsidR="002F7181" w:rsidTr="006518A3">
        <w:trPr>
          <w:trHeight w:val="255"/>
        </w:trPr>
        <w:tc>
          <w:tcPr>
            <w:tcW w:w="3692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ind w:left="-20"/>
            </w:pPr>
            <w:r>
              <w:t>Bevételek aktív időbeli elhatárolása</w:t>
            </w:r>
          </w:p>
        </w:tc>
        <w:tc>
          <w:tcPr>
            <w:tcW w:w="4116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135"/>
        </w:trPr>
        <w:tc>
          <w:tcPr>
            <w:tcW w:w="3692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Költségek aktív időbeli elhatárolása</w:t>
            </w:r>
          </w:p>
        </w:tc>
        <w:tc>
          <w:tcPr>
            <w:tcW w:w="4116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22</w:t>
            </w:r>
          </w:p>
        </w:tc>
      </w:tr>
      <w:tr w:rsidR="002F7181" w:rsidTr="006518A3">
        <w:trPr>
          <w:trHeight w:val="135"/>
        </w:trPr>
        <w:tc>
          <w:tcPr>
            <w:tcW w:w="3692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Halasztott ráfordítások</w:t>
            </w:r>
          </w:p>
        </w:tc>
        <w:tc>
          <w:tcPr>
            <w:tcW w:w="4116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255"/>
        </w:trPr>
        <w:tc>
          <w:tcPr>
            <w:tcW w:w="3692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4116" w:type="dxa"/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2F7181" w:rsidRDefault="002F7181" w:rsidP="00BA5722">
      <w:pPr>
        <w:pStyle w:val="xl25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</w:t>
      </w:r>
    </w:p>
    <w:p w:rsidR="002F7181" w:rsidRDefault="002F7181" w:rsidP="00BA5722">
      <w:pPr>
        <w:pStyle w:val="xl25"/>
        <w:spacing w:before="0" w:after="0"/>
        <w:rPr>
          <w:rFonts w:ascii="Times New Roman" w:hAnsi="Times New Roman"/>
          <w:b w:val="0"/>
        </w:rPr>
      </w:pPr>
    </w:p>
    <w:p w:rsidR="002F7181" w:rsidRDefault="002F7181" w:rsidP="00BA5722">
      <w:pPr>
        <w:pStyle w:val="xl25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22.000-Ft. összegű aktív időbeli elhatárolás az ingatlanra kötött vagyon biztosítás időarányos részét tartalmazza.</w:t>
      </w:r>
    </w:p>
    <w:p w:rsidR="002F7181" w:rsidRDefault="002F7181" w:rsidP="00BA5722">
      <w:pPr>
        <w:pStyle w:val="xl25"/>
        <w:spacing w:before="0" w:after="0"/>
        <w:rPr>
          <w:rFonts w:ascii="Times New Roman" w:hAnsi="Times New Roman"/>
          <w:b w:val="0"/>
        </w:rPr>
      </w:pPr>
    </w:p>
    <w:p w:rsidR="002F7181" w:rsidRDefault="002F7181" w:rsidP="00BA5722">
      <w:pPr>
        <w:pStyle w:val="Norml1"/>
        <w:ind w:right="-991"/>
      </w:pPr>
    </w:p>
    <w:p w:rsidR="002F7181" w:rsidRDefault="002F7181" w:rsidP="00BA5722">
      <w:pPr>
        <w:rPr>
          <w:sz w:val="24"/>
        </w:rPr>
      </w:pPr>
      <w:r>
        <w:br w:type="page"/>
      </w:r>
    </w:p>
    <w:p w:rsidR="002F7181" w:rsidRPr="00946777" w:rsidRDefault="002F7181" w:rsidP="00BA5722">
      <w:pPr>
        <w:pStyle w:val="Cmsor51"/>
        <w:jc w:val="center"/>
        <w:rPr>
          <w:spacing w:val="30"/>
          <w:szCs w:val="28"/>
          <w:u w:val="none"/>
        </w:rPr>
      </w:pPr>
      <w:r w:rsidRPr="00946777">
        <w:rPr>
          <w:spacing w:val="30"/>
          <w:szCs w:val="28"/>
          <w:u w:val="none"/>
        </w:rPr>
        <w:t>I. FORRÁSOK ÉRTÉKELÉSE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946777" w:rsidRDefault="002F7181" w:rsidP="00BA5722">
      <w:pPr>
        <w:pStyle w:val="Cmsor11"/>
        <w:numPr>
          <w:ilvl w:val="0"/>
          <w:numId w:val="6"/>
        </w:numPr>
        <w:rPr>
          <w:b/>
          <w:szCs w:val="28"/>
          <w:u w:val="none"/>
        </w:rPr>
      </w:pPr>
      <w:r w:rsidRPr="00946777">
        <w:rPr>
          <w:b/>
          <w:szCs w:val="28"/>
          <w:u w:val="none"/>
        </w:rPr>
        <w:t>Saját tőke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xl25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Saját tőke alakulása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e. Ft.  </w:t>
      </w:r>
    </w:p>
    <w:p w:rsidR="002F7181" w:rsidRPr="007757DC" w:rsidRDefault="002F7181" w:rsidP="00BA5722">
      <w:pPr>
        <w:pStyle w:val="Norml1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126"/>
        <w:gridCol w:w="2410"/>
      </w:tblGrid>
      <w:tr w:rsidR="002F7181" w:rsidTr="00210C56">
        <w:trPr>
          <w:trHeight w:val="402"/>
        </w:trPr>
        <w:tc>
          <w:tcPr>
            <w:tcW w:w="2552" w:type="dxa"/>
            <w:vAlign w:val="center"/>
          </w:tcPr>
          <w:p w:rsidR="002F7181" w:rsidRDefault="002F7181" w:rsidP="00210C56">
            <w:pPr>
              <w:pStyle w:val="Norml1"/>
              <w:jc w:val="center"/>
            </w:pPr>
            <w:r w:rsidRPr="00210C56">
              <w:rPr>
                <w:b/>
              </w:rPr>
              <w:t>Megnevezés</w:t>
            </w:r>
          </w:p>
        </w:tc>
        <w:tc>
          <w:tcPr>
            <w:tcW w:w="2126" w:type="dxa"/>
            <w:vAlign w:val="center"/>
          </w:tcPr>
          <w:p w:rsidR="002F7181" w:rsidRPr="00210C56" w:rsidRDefault="002F7181" w:rsidP="00210C56">
            <w:pPr>
              <w:pStyle w:val="Norml1"/>
              <w:jc w:val="center"/>
              <w:rPr>
                <w:b/>
              </w:rPr>
            </w:pPr>
            <w:r w:rsidRPr="00210C56">
              <w:rPr>
                <w:b/>
              </w:rPr>
              <w:t>2012. év 12. 31.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center"/>
            </w:pPr>
            <w:r w:rsidRPr="00210C56">
              <w:rPr>
                <w:b/>
              </w:rPr>
              <w:t>2013.év 06.30.</w:t>
            </w:r>
          </w:p>
        </w:tc>
      </w:tr>
      <w:tr w:rsidR="002F7181" w:rsidTr="00210C56">
        <w:tc>
          <w:tcPr>
            <w:tcW w:w="2552" w:type="dxa"/>
            <w:vAlign w:val="center"/>
          </w:tcPr>
          <w:p w:rsidR="002F7181" w:rsidRDefault="002F7181" w:rsidP="00BA5722">
            <w:pPr>
              <w:pStyle w:val="Norml1"/>
            </w:pPr>
            <w:r>
              <w:t>Jegyzett tőke</w:t>
            </w:r>
          </w:p>
        </w:tc>
        <w:tc>
          <w:tcPr>
            <w:tcW w:w="2126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500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500</w:t>
            </w:r>
          </w:p>
        </w:tc>
      </w:tr>
      <w:tr w:rsidR="002F7181" w:rsidTr="00210C56">
        <w:tc>
          <w:tcPr>
            <w:tcW w:w="2552" w:type="dxa"/>
            <w:vAlign w:val="center"/>
          </w:tcPr>
          <w:p w:rsidR="002F7181" w:rsidRDefault="002F7181" w:rsidP="00BA5722">
            <w:pPr>
              <w:pStyle w:val="Norml1"/>
            </w:pPr>
            <w:r>
              <w:t>Tőketartalék</w:t>
            </w:r>
          </w:p>
        </w:tc>
        <w:tc>
          <w:tcPr>
            <w:tcW w:w="2126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0</w:t>
            </w:r>
          </w:p>
        </w:tc>
      </w:tr>
      <w:tr w:rsidR="002F7181" w:rsidTr="00210C56">
        <w:tc>
          <w:tcPr>
            <w:tcW w:w="2552" w:type="dxa"/>
            <w:vAlign w:val="center"/>
          </w:tcPr>
          <w:p w:rsidR="002F7181" w:rsidRDefault="002F7181" w:rsidP="00BA5722">
            <w:pPr>
              <w:pStyle w:val="Norml1"/>
            </w:pPr>
            <w:r>
              <w:t>Eredménytartalék</w:t>
            </w:r>
          </w:p>
        </w:tc>
        <w:tc>
          <w:tcPr>
            <w:tcW w:w="2126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-21.969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-21.540</w:t>
            </w:r>
          </w:p>
        </w:tc>
      </w:tr>
      <w:tr w:rsidR="002F7181" w:rsidTr="00210C56">
        <w:tc>
          <w:tcPr>
            <w:tcW w:w="2552" w:type="dxa"/>
            <w:vAlign w:val="center"/>
          </w:tcPr>
          <w:p w:rsidR="002F7181" w:rsidRDefault="002F7181" w:rsidP="00BA5722">
            <w:pPr>
              <w:pStyle w:val="Norml1"/>
            </w:pPr>
            <w:r>
              <w:t>Lekötött tartalék</w:t>
            </w:r>
          </w:p>
        </w:tc>
        <w:tc>
          <w:tcPr>
            <w:tcW w:w="2126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21.969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21.969</w:t>
            </w:r>
          </w:p>
        </w:tc>
      </w:tr>
      <w:tr w:rsidR="002F7181" w:rsidTr="00210C56">
        <w:tc>
          <w:tcPr>
            <w:tcW w:w="2552" w:type="dxa"/>
            <w:vAlign w:val="center"/>
          </w:tcPr>
          <w:p w:rsidR="002F7181" w:rsidRDefault="002F7181" w:rsidP="00BA5722">
            <w:pPr>
              <w:pStyle w:val="Norml1"/>
            </w:pPr>
            <w:r>
              <w:t>Mérleg szerinti eredmény</w:t>
            </w:r>
          </w:p>
        </w:tc>
        <w:tc>
          <w:tcPr>
            <w:tcW w:w="2126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429</w:t>
            </w:r>
          </w:p>
        </w:tc>
        <w:tc>
          <w:tcPr>
            <w:tcW w:w="2410" w:type="dxa"/>
            <w:vAlign w:val="center"/>
          </w:tcPr>
          <w:p w:rsidR="002F7181" w:rsidRDefault="002F7181" w:rsidP="00210C56">
            <w:pPr>
              <w:pStyle w:val="Norml1"/>
              <w:jc w:val="right"/>
            </w:pPr>
            <w:r>
              <w:t>1772</w:t>
            </w:r>
          </w:p>
        </w:tc>
      </w:tr>
      <w:tr w:rsidR="002F7181" w:rsidRPr="00BA5722" w:rsidTr="00210C56">
        <w:tc>
          <w:tcPr>
            <w:tcW w:w="2552" w:type="dxa"/>
            <w:vAlign w:val="center"/>
          </w:tcPr>
          <w:p w:rsidR="002F7181" w:rsidRPr="00210C56" w:rsidRDefault="002F7181" w:rsidP="00BA5722">
            <w:pPr>
              <w:pStyle w:val="Norml1"/>
              <w:rPr>
                <w:b/>
              </w:rPr>
            </w:pPr>
            <w:r w:rsidRPr="00210C56">
              <w:rPr>
                <w:b/>
              </w:rPr>
              <w:t>Saját tőke</w:t>
            </w:r>
          </w:p>
        </w:tc>
        <w:tc>
          <w:tcPr>
            <w:tcW w:w="2126" w:type="dxa"/>
            <w:vAlign w:val="center"/>
          </w:tcPr>
          <w:p w:rsidR="002F7181" w:rsidRPr="00210C56" w:rsidRDefault="002F7181" w:rsidP="00210C56">
            <w:pPr>
              <w:pStyle w:val="Norml1"/>
              <w:jc w:val="right"/>
              <w:rPr>
                <w:b/>
              </w:rPr>
            </w:pPr>
            <w:r w:rsidRPr="00210C56">
              <w:rPr>
                <w:b/>
              </w:rPr>
              <w:t>929</w:t>
            </w:r>
          </w:p>
        </w:tc>
        <w:tc>
          <w:tcPr>
            <w:tcW w:w="2410" w:type="dxa"/>
            <w:vAlign w:val="center"/>
          </w:tcPr>
          <w:p w:rsidR="002F7181" w:rsidRPr="00210C56" w:rsidRDefault="002F7181" w:rsidP="00210C56">
            <w:pPr>
              <w:pStyle w:val="Norml1"/>
              <w:jc w:val="right"/>
              <w:rPr>
                <w:b/>
              </w:rPr>
            </w:pPr>
            <w:r w:rsidRPr="00210C56">
              <w:rPr>
                <w:b/>
              </w:rPr>
              <w:t>2701</w:t>
            </w:r>
          </w:p>
        </w:tc>
      </w:tr>
    </w:tbl>
    <w:p w:rsidR="002F7181" w:rsidRDefault="002F7181" w:rsidP="00BA5722">
      <w:pPr>
        <w:pStyle w:val="xl25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</w:pPr>
      <w:r>
        <w:t>A saját tőke könyv szerinti értéken került értékelésre.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Pr="00946777" w:rsidRDefault="002F7181" w:rsidP="00BA5722">
      <w:pPr>
        <w:pStyle w:val="Cmsor11"/>
        <w:numPr>
          <w:ilvl w:val="0"/>
          <w:numId w:val="6"/>
        </w:numPr>
        <w:rPr>
          <w:b/>
          <w:szCs w:val="28"/>
          <w:u w:val="none"/>
        </w:rPr>
      </w:pPr>
      <w:r w:rsidRPr="00946777">
        <w:rPr>
          <w:b/>
          <w:szCs w:val="28"/>
          <w:u w:val="none"/>
        </w:rPr>
        <w:t>Kötelezettségek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jc w:val="both"/>
      </w:pPr>
      <w:r>
        <w:t>A társaság kötelezettségei között nem szerepelnek hátrasorolt kötelezettségek.</w:t>
      </w:r>
    </w:p>
    <w:p w:rsidR="002F7181" w:rsidRDefault="002F7181" w:rsidP="00BA5722">
      <w:pPr>
        <w:pStyle w:val="Norml1"/>
        <w:jc w:val="both"/>
      </w:pPr>
    </w:p>
    <w:p w:rsidR="002F7181" w:rsidRPr="00447087" w:rsidRDefault="002F7181" w:rsidP="00BA5722">
      <w:pPr>
        <w:pStyle w:val="Norml1"/>
        <w:jc w:val="both"/>
        <w:rPr>
          <w:b/>
        </w:rPr>
      </w:pPr>
      <w:r>
        <w:t xml:space="preserve">A hosszú lejáratú kötelezettségek értéke </w:t>
      </w:r>
      <w:r w:rsidRPr="00447087">
        <w:rPr>
          <w:b/>
        </w:rPr>
        <w:t>0 Ft.</w:t>
      </w:r>
    </w:p>
    <w:p w:rsidR="002F7181" w:rsidRPr="00725153" w:rsidRDefault="002F7181" w:rsidP="00BA5722">
      <w:pPr>
        <w:pStyle w:val="Norml1"/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horzAnchor="margin" w:tblpXSpec="center" w:tblpY="65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4283"/>
        <w:gridCol w:w="1499"/>
        <w:gridCol w:w="1560"/>
      </w:tblGrid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1427CD" w:rsidRDefault="002F7181" w:rsidP="006518A3">
            <w:pPr>
              <w:pStyle w:val="Norml1"/>
              <w:ind w:left="-20"/>
              <w:rPr>
                <w:b/>
              </w:rPr>
            </w:pPr>
            <w:r w:rsidRPr="001427CD">
              <w:rPr>
                <w:b/>
              </w:rPr>
              <w:t>Megnevezés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2012. 12. 31.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2013.06.30.</w:t>
            </w:r>
          </w:p>
        </w:tc>
      </w:tr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- Kötelezettségek áruszállításból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876F4" w:rsidRDefault="002F7181" w:rsidP="006518A3">
            <w:pPr>
              <w:pStyle w:val="Norml1"/>
              <w:rPr>
                <w:b/>
              </w:rPr>
            </w:pPr>
            <w:r>
              <w:rPr>
                <w:b/>
              </w:rPr>
              <w:t xml:space="preserve">               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20221" w:rsidRDefault="002F7181" w:rsidP="006518A3">
            <w:pPr>
              <w:pStyle w:val="Norml1"/>
              <w:jc w:val="center"/>
              <w:rPr>
                <w:b/>
              </w:rPr>
            </w:pPr>
            <w:r w:rsidRPr="00520221">
              <w:rPr>
                <w:b/>
              </w:rPr>
              <w:t xml:space="preserve">       </w:t>
            </w:r>
            <w:r>
              <w:rPr>
                <w:b/>
              </w:rPr>
              <w:t xml:space="preserve">    </w:t>
            </w:r>
            <w:r w:rsidRPr="00520221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Pr="00520221">
              <w:rPr>
                <w:b/>
              </w:rPr>
              <w:t xml:space="preserve">       </w:t>
            </w:r>
          </w:p>
        </w:tc>
      </w:tr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-  Vevőktől kapott előleg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876F4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20221" w:rsidRDefault="002F7181" w:rsidP="006518A3">
            <w:pPr>
              <w:pStyle w:val="Norml1"/>
              <w:jc w:val="center"/>
              <w:rPr>
                <w:b/>
              </w:rPr>
            </w:pPr>
            <w:r w:rsidRPr="00520221">
              <w:rPr>
                <w:b/>
              </w:rPr>
              <w:t xml:space="preserve">         </w:t>
            </w:r>
            <w:r>
              <w:rPr>
                <w:b/>
              </w:rPr>
              <w:t xml:space="preserve">      0</w:t>
            </w:r>
          </w:p>
        </w:tc>
      </w:tr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- Egyéb rövid lej. kötelezettségek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876F4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 xml:space="preserve">          10.916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20221" w:rsidRDefault="002F7181" w:rsidP="006518A3">
            <w:pPr>
              <w:pStyle w:val="Norml1"/>
              <w:rPr>
                <w:b/>
              </w:rPr>
            </w:pPr>
            <w:r>
              <w:rPr>
                <w:b/>
              </w:rPr>
              <w:t xml:space="preserve">         13.319 </w:t>
            </w:r>
          </w:p>
        </w:tc>
      </w:tr>
      <w:tr w:rsidR="002F7181" w:rsidTr="006518A3">
        <w:trPr>
          <w:trHeight w:val="90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rövidlejáratú hitel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center"/>
            </w:pPr>
            <w:r>
              <w:t xml:space="preserve">                0</w:t>
            </w:r>
          </w:p>
        </w:tc>
      </w:tr>
      <w:tr w:rsidR="002F7181" w:rsidTr="006518A3">
        <w:trPr>
          <w:trHeight w:val="90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adófizetési kötelezettség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center"/>
            </w:pPr>
            <w:r>
              <w:t xml:space="preserve">         3.288 </w:t>
            </w:r>
          </w:p>
        </w:tc>
      </w:tr>
      <w:tr w:rsidR="002F7181" w:rsidTr="006518A3">
        <w:trPr>
          <w:trHeight w:val="90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dolgozókkal szembeni köt.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F7181" w:rsidRDefault="002F7181" w:rsidP="006518A3">
            <w:pPr>
              <w:pStyle w:val="Norml1"/>
              <w:jc w:val="center"/>
            </w:pPr>
          </w:p>
        </w:tc>
      </w:tr>
      <w:tr w:rsidR="002F7181" w:rsidTr="006518A3">
        <w:trPr>
          <w:trHeight w:val="90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alapítókkal szembeni köt.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F7181" w:rsidRDefault="002F7181" w:rsidP="006518A3">
            <w:pPr>
              <w:pStyle w:val="Norml1"/>
              <w:jc w:val="right"/>
            </w:pPr>
            <w:r>
              <w:t>10.031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F7181" w:rsidRDefault="002F7181" w:rsidP="006518A3">
            <w:pPr>
              <w:pStyle w:val="Norml1"/>
              <w:jc w:val="center"/>
            </w:pPr>
            <w:r>
              <w:t xml:space="preserve">        10.031</w:t>
            </w:r>
          </w:p>
        </w:tc>
      </w:tr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egyéb kötelezettségek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center"/>
            </w:pPr>
            <w:r>
              <w:t xml:space="preserve">                0</w:t>
            </w:r>
          </w:p>
        </w:tc>
      </w:tr>
      <w:tr w:rsidR="002F7181" w:rsidTr="006518A3">
        <w:trPr>
          <w:trHeight w:val="25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11.643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 xml:space="preserve">       13.331</w:t>
            </w:r>
          </w:p>
        </w:tc>
      </w:tr>
    </w:tbl>
    <w:p w:rsidR="002F7181" w:rsidRDefault="002F7181" w:rsidP="00BA5722">
      <w:pPr>
        <w:pStyle w:val="Norml1"/>
        <w:rPr>
          <w:b/>
        </w:rPr>
      </w:pPr>
      <w:r>
        <w:rPr>
          <w:b/>
        </w:rPr>
        <w:t>A rövidlejáratú kötelezettségek alakulása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e. Ft.</w:t>
      </w:r>
      <w:r>
        <w:rPr>
          <w:b/>
        </w:rPr>
        <w:tab/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Title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rPr>
          <w:b/>
        </w:rPr>
      </w:pPr>
      <w:r>
        <w:rPr>
          <w:b/>
        </w:rPr>
        <w:tab/>
      </w:r>
    </w:p>
    <w:p w:rsidR="002F7181" w:rsidRDefault="002F7181" w:rsidP="00BA5722">
      <w:pPr>
        <w:pStyle w:val="Norml1"/>
        <w:rPr>
          <w:b/>
        </w:rPr>
      </w:pPr>
      <w:r>
        <w:rPr>
          <w:b/>
        </w:rPr>
        <w:tab/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jc w:val="both"/>
      </w:pPr>
      <w:r>
        <w:t>Az egyéb rövidlejáratú kötelezettségek között a könyvvizsgálónak fizetendő kötelezettség a június havi munkabér utáni adófizetési kötelezettségek, iparűzési adó fizetési kötelezettség, valamint az alapítótól kapott tagi kölcsön összege szerepel.</w:t>
      </w:r>
    </w:p>
    <w:p w:rsidR="002F7181" w:rsidRDefault="002F7181" w:rsidP="00BA5722">
      <w:pPr>
        <w:pStyle w:val="Norml1"/>
        <w:jc w:val="both"/>
      </w:pPr>
      <w:r>
        <w:t>A kötelezettségek a ténylegesen számlázott és elismert értékben kerültek nyilvántartásba és értékelésre.</w:t>
      </w:r>
      <w:r w:rsidRPr="00C468B5">
        <w:t xml:space="preserve"> </w:t>
      </w:r>
    </w:p>
    <w:p w:rsidR="002F7181" w:rsidRDefault="002F7181" w:rsidP="00BA5722">
      <w:pPr>
        <w:pStyle w:val="Norml1"/>
        <w:jc w:val="both"/>
      </w:pPr>
    </w:p>
    <w:p w:rsidR="002F7181" w:rsidRPr="008618B0" w:rsidRDefault="002F7181" w:rsidP="00BA5722">
      <w:pPr>
        <w:pStyle w:val="Norml1"/>
        <w:jc w:val="both"/>
      </w:pPr>
      <w:r>
        <w:t>A kötelezettségek között lejárt tartozás nincs.</w:t>
      </w:r>
    </w:p>
    <w:p w:rsidR="002F7181" w:rsidRDefault="002F7181" w:rsidP="00BA5722">
      <w:pPr>
        <w:pStyle w:val="Norml1"/>
        <w:ind w:right="-991"/>
      </w:pPr>
    </w:p>
    <w:p w:rsidR="002F7181" w:rsidRPr="00BA5722" w:rsidRDefault="002F7181" w:rsidP="00BA5722">
      <w:pPr>
        <w:pStyle w:val="Cmsor11"/>
        <w:numPr>
          <w:ilvl w:val="0"/>
          <w:numId w:val="6"/>
        </w:numPr>
        <w:rPr>
          <w:b/>
          <w:szCs w:val="28"/>
          <w:u w:val="none"/>
        </w:rPr>
      </w:pPr>
      <w:r w:rsidRPr="00946777">
        <w:rPr>
          <w:b/>
          <w:szCs w:val="28"/>
          <w:u w:val="none"/>
        </w:rPr>
        <w:t>Passzív időbeli elhatárolások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xl25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Költségek, ráfordítások passzív időbeli elhatárolása  </w:t>
      </w:r>
    </w:p>
    <w:p w:rsidR="002F7181" w:rsidRDefault="002F7181" w:rsidP="00BA5722">
      <w:pPr>
        <w:pStyle w:val="xl25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F7181" w:rsidRDefault="002F7181" w:rsidP="00BA5722">
      <w:pPr>
        <w:pStyle w:val="Norml1"/>
        <w:jc w:val="both"/>
      </w:pPr>
      <w:r>
        <w:t>Ezen a mérlegsoron a 2013.I. félévében felmerült, de 2013.év július hónapban számlázott költségeket, és az alapítótól kapott tagi kölcsön után fizetendő kamatok /2010-2013.év június 30-ka közötti időszakra</w:t>
      </w:r>
      <w:r w:rsidRPr="004B5FBE">
        <w:t xml:space="preserve"> </w:t>
      </w:r>
      <w:r>
        <w:t>számított/ összegét mutattuk ki.</w:t>
      </w:r>
    </w:p>
    <w:p w:rsidR="002F7181" w:rsidRDefault="002F7181" w:rsidP="00BA5722">
      <w:pPr>
        <w:pStyle w:val="Norml1"/>
        <w:jc w:val="both"/>
      </w:pPr>
    </w:p>
    <w:p w:rsidR="002F7181" w:rsidRDefault="002F7181" w:rsidP="00BA5722">
      <w:pPr>
        <w:pStyle w:val="Norml1"/>
        <w:ind w:left="6480"/>
        <w:jc w:val="both"/>
      </w:pPr>
      <w:r>
        <w:t xml:space="preserve">                    e. Ft.</w:t>
      </w:r>
    </w:p>
    <w:p w:rsidR="002F7181" w:rsidRDefault="002F7181" w:rsidP="00BA5722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</w:pPr>
      <w:r>
        <w:t>Költségek passzív időbeli elhatárolása                                                          2.852</w:t>
      </w:r>
    </w:p>
    <w:p w:rsidR="002F7181" w:rsidRDefault="002F7181" w:rsidP="00BA5722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</w:pPr>
      <w:r>
        <w:t>Bevételek passzív időbeli elhatárolása                                                                 0</w:t>
      </w:r>
    </w:p>
    <w:p w:rsidR="002F7181" w:rsidRDefault="002F7181" w:rsidP="00BA5722">
      <w:pPr>
        <w:pStyle w:val="Norm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right"/>
      </w:pPr>
      <w:r>
        <w:t xml:space="preserve">  </w:t>
      </w:r>
      <w:r w:rsidRPr="008622A7">
        <w:rPr>
          <w:b/>
        </w:rPr>
        <w:t>Költségek és ráfordítások passzív időbeli elhatárolása</w:t>
      </w:r>
      <w:r>
        <w:t xml:space="preserve">:      </w:t>
      </w:r>
      <w:r>
        <w:tab/>
      </w:r>
      <w:r>
        <w:tab/>
        <w:t xml:space="preserve">                 </w:t>
      </w:r>
      <w:r w:rsidRPr="008622A7">
        <w:rPr>
          <w:b/>
        </w:rPr>
        <w:t>2.852</w:t>
      </w:r>
    </w:p>
    <w:p w:rsidR="002F7181" w:rsidRDefault="002F7181" w:rsidP="00BA5722">
      <w:pPr>
        <w:pStyle w:val="Norml1"/>
        <w:jc w:val="both"/>
        <w:rPr>
          <w:b/>
        </w:rPr>
      </w:pPr>
    </w:p>
    <w:p w:rsidR="002F7181" w:rsidRDefault="002F7181" w:rsidP="00BA5722">
      <w:pPr>
        <w:pStyle w:val="Norml1"/>
        <w:jc w:val="both"/>
        <w:rPr>
          <w:b/>
        </w:rPr>
      </w:pPr>
    </w:p>
    <w:p w:rsidR="002F7181" w:rsidRPr="00001AC1" w:rsidRDefault="002F7181" w:rsidP="00BA5722">
      <w:pPr>
        <w:pStyle w:val="Norml1"/>
        <w:jc w:val="both"/>
        <w:rPr>
          <w:b/>
        </w:rPr>
      </w:pPr>
      <w:r>
        <w:rPr>
          <w:b/>
        </w:rPr>
        <w:t>Mé</w:t>
      </w:r>
      <w:r w:rsidRPr="00001AC1">
        <w:rPr>
          <w:b/>
        </w:rPr>
        <w:t>rleg eszközök és források egyező összege</w:t>
      </w:r>
      <w:r>
        <w:rPr>
          <w:b/>
        </w:rPr>
        <w:t xml:space="preserve"> 18.884-e. Ft.</w:t>
      </w:r>
    </w:p>
    <w:p w:rsidR="002F7181" w:rsidRPr="00A734C9" w:rsidRDefault="002F7181" w:rsidP="00BA5722">
      <w:pPr>
        <w:pStyle w:val="Norml1"/>
      </w:pPr>
    </w:p>
    <w:p w:rsidR="002F7181" w:rsidRDefault="002F7181" w:rsidP="00BA5722"/>
    <w:p w:rsidR="002F7181" w:rsidRDefault="002F7181" w:rsidP="00BA5722">
      <w:r>
        <w:br w:type="page"/>
      </w:r>
    </w:p>
    <w:p w:rsidR="002F7181" w:rsidRPr="00F76E3F" w:rsidRDefault="002F7181" w:rsidP="00BA5722">
      <w:pPr>
        <w:pStyle w:val="Cmsor41"/>
        <w:jc w:val="center"/>
        <w:rPr>
          <w:sz w:val="32"/>
          <w:szCs w:val="32"/>
        </w:rPr>
      </w:pPr>
      <w:r w:rsidRPr="00F76E3F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F76E3F">
        <w:rPr>
          <w:sz w:val="32"/>
          <w:szCs w:val="32"/>
        </w:rPr>
        <w:t>R</w:t>
      </w:r>
      <w:r>
        <w:rPr>
          <w:sz w:val="32"/>
          <w:szCs w:val="32"/>
        </w:rPr>
        <w:t xml:space="preserve"> </w:t>
      </w:r>
      <w:r w:rsidRPr="00F76E3F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F76E3F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Pr="00F76E3F">
        <w:rPr>
          <w:sz w:val="32"/>
          <w:szCs w:val="32"/>
        </w:rPr>
        <w:t>M É N Y K I M U T A T Á S H O Z</w:t>
      </w:r>
    </w:p>
    <w:p w:rsidR="002F7181" w:rsidRPr="00F76E3F" w:rsidRDefault="002F7181" w:rsidP="00BA5722">
      <w:pPr>
        <w:pStyle w:val="Cmsor41"/>
        <w:ind w:left="18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76E3F">
        <w:rPr>
          <w:sz w:val="32"/>
          <w:szCs w:val="32"/>
        </w:rPr>
        <w:t xml:space="preserve">K A P C </w:t>
      </w:r>
      <w:r>
        <w:rPr>
          <w:sz w:val="32"/>
          <w:szCs w:val="32"/>
        </w:rPr>
        <w:t>S O L Ó D Ó   K I E G É S Z Í</w:t>
      </w:r>
      <w:r w:rsidRPr="00F76E3F">
        <w:rPr>
          <w:sz w:val="32"/>
          <w:szCs w:val="32"/>
        </w:rPr>
        <w:t xml:space="preserve"> T É S E K</w:t>
      </w: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jc w:val="both"/>
      </w:pPr>
      <w:r>
        <w:t xml:space="preserve"> A társaság az eredménykimutatását a könyvvezetése során az 5. Költségnem, a 8. Egyéb ráfordítások, és a 9. Értékesítés árbevétele és egyéb bevételek számlaosztályok számlái alapján állapítja meg összköltség eljárással.</w:t>
      </w: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</w:pPr>
    </w:p>
    <w:p w:rsidR="002F7181" w:rsidRDefault="002F7181" w:rsidP="00BA5722">
      <w:pPr>
        <w:pStyle w:val="Norml1"/>
        <w:numPr>
          <w:ilvl w:val="0"/>
          <w:numId w:val="1"/>
        </w:numPr>
        <w:tabs>
          <w:tab w:val="left" w:pos="9360"/>
        </w:tabs>
        <w:rPr>
          <w:b/>
          <w:szCs w:val="24"/>
        </w:rPr>
      </w:pPr>
      <w:r w:rsidRPr="007D7EB1">
        <w:rPr>
          <w:b/>
          <w:szCs w:val="24"/>
        </w:rPr>
        <w:t>Eredmény összetételének alakulása</w:t>
      </w:r>
    </w:p>
    <w:tbl>
      <w:tblPr>
        <w:tblpPr w:leftFromText="141" w:rightFromText="141" w:vertAnchor="page" w:horzAnchor="margin" w:tblpXSpec="center" w:tblpY="4723"/>
        <w:tblW w:w="8911" w:type="dxa"/>
        <w:tblCellMar>
          <w:left w:w="70" w:type="dxa"/>
          <w:right w:w="70" w:type="dxa"/>
        </w:tblCellMar>
        <w:tblLook w:val="00A0"/>
      </w:tblPr>
      <w:tblGrid>
        <w:gridCol w:w="614"/>
        <w:gridCol w:w="3924"/>
        <w:gridCol w:w="1180"/>
        <w:gridCol w:w="1180"/>
        <w:gridCol w:w="974"/>
        <w:gridCol w:w="1086"/>
      </w:tblGrid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E94C65" w:rsidRDefault="002F7181" w:rsidP="00BA5722">
            <w:pPr>
              <w:rPr>
                <w:noProof w:val="0"/>
                <w:sz w:val="24"/>
                <w:szCs w:val="24"/>
              </w:rPr>
            </w:pPr>
            <w:r w:rsidRPr="00E94C6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center"/>
              <w:rPr>
                <w:b/>
                <w:bCs/>
                <w:noProof w:val="0"/>
                <w:sz w:val="24"/>
                <w:szCs w:val="24"/>
              </w:rPr>
            </w:pPr>
            <w:r w:rsidRPr="008B4BB5">
              <w:rPr>
                <w:b/>
                <w:bCs/>
                <w:noProof w:val="0"/>
                <w:sz w:val="24"/>
                <w:szCs w:val="24"/>
              </w:rPr>
              <w:t>Eredmény</w:t>
            </w:r>
            <w:r>
              <w:rPr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8B4BB5">
              <w:rPr>
                <w:b/>
                <w:bCs/>
                <w:noProof w:val="0"/>
                <w:sz w:val="24"/>
                <w:szCs w:val="24"/>
              </w:rPr>
              <w:t>kimutatás tételei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2012.év 12.31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2013.év</w:t>
            </w:r>
            <w:r>
              <w:rPr>
                <w:b/>
                <w:noProof w:val="0"/>
                <w:sz w:val="24"/>
                <w:szCs w:val="24"/>
              </w:rPr>
              <w:t xml:space="preserve"> </w:t>
            </w:r>
            <w:r w:rsidRPr="009E7BDA">
              <w:rPr>
                <w:b/>
                <w:noProof w:val="0"/>
                <w:sz w:val="24"/>
                <w:szCs w:val="24"/>
              </w:rPr>
              <w:t>06.30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181" w:rsidRPr="009E7BDA" w:rsidRDefault="002F7181" w:rsidP="00BA5722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Változás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E94C65" w:rsidRDefault="002F7181" w:rsidP="00BA5722">
            <w:pPr>
              <w:rPr>
                <w:noProof w:val="0"/>
                <w:sz w:val="24"/>
                <w:szCs w:val="24"/>
              </w:rPr>
            </w:pPr>
            <w:r w:rsidRPr="00E94C6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ezer Ft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%</w:t>
            </w:r>
          </w:p>
        </w:tc>
      </w:tr>
      <w:tr w:rsidR="002F7181" w:rsidRPr="008B4BB5" w:rsidTr="00BA572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Értékesítés nettó árbevétele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21 934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6 386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- 15 548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-70,89%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II.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Aktivált saját teljesítmények értéke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-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III.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Egyéb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92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21 368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21 276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IV.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Anyagjellegű ráfordítások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7 624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10 335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2 711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35,56%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V.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Személyi jellegű ráfordítások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29 110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15 264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- 13 846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-47,56%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VI.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Értékcsökkenési leírás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192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148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  44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-22,92%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VII.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Egyéb ráfordítások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444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444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-100,00%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A.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 xml:space="preserve">ÜZEMI (ÜZLETI) TEVÉKENYSÉG EREDMÉNYE   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15 344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2 007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17 351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VIII.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Pénzügyi műveletek bevételei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281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15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266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-94,66%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IX.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Pénzügyi műveletek ráfordításai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1 095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250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845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-77,17%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B.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PÉNZÜGYI MŰVELETEK EREDMÉNYE (VIII.-IX.)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  814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  235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579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C.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SZOKÁSOS VÁLLALKOZÁSI EREDMÉNY (+-A.+-B.)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16 158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1 772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17 930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X.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Rendkívüli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16 742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- 16 742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-100,00%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XI.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Rendkívüli ráfordítások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-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D.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RENDKÍVÜLI EREDMÉNY (X.-XI.)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16 742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- 16 742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-100,00%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E.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ADÓZÁS ELŐTTI EREDMÉNY (+-C.+-D.)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584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1 772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1 188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203,42%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BA5722" w:rsidRDefault="002F7181" w:rsidP="00BA5722">
            <w:pPr>
              <w:rPr>
                <w:noProof w:val="0"/>
                <w:sz w:val="24"/>
                <w:szCs w:val="24"/>
              </w:rPr>
            </w:pPr>
            <w:r w:rsidRPr="00BA5722">
              <w:rPr>
                <w:noProof w:val="0"/>
                <w:sz w:val="24"/>
                <w:szCs w:val="24"/>
              </w:rPr>
              <w:t>XII.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noProof w:val="0"/>
                <w:sz w:val="24"/>
                <w:szCs w:val="24"/>
              </w:rPr>
            </w:pPr>
            <w:r w:rsidRPr="009E7BDA">
              <w:rPr>
                <w:noProof w:val="0"/>
                <w:sz w:val="24"/>
                <w:szCs w:val="24"/>
              </w:rPr>
              <w:t>Adófizetési kötelezettség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155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    -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-      155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-100,00%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F.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ADÓZOTT EREDMÉNY (+-E.-XII.)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   429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  1 772   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 xml:space="preserve">    1 343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noProof w:val="0"/>
                <w:sz w:val="24"/>
                <w:szCs w:val="24"/>
              </w:rPr>
            </w:pPr>
            <w:r w:rsidRPr="008B4BB5">
              <w:rPr>
                <w:noProof w:val="0"/>
                <w:sz w:val="24"/>
                <w:szCs w:val="24"/>
              </w:rPr>
              <w:t>313,05%</w:t>
            </w:r>
          </w:p>
        </w:tc>
      </w:tr>
      <w:tr w:rsidR="002F7181" w:rsidRPr="008B4BB5" w:rsidTr="00BA572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BA5722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BA5722">
              <w:rPr>
                <w:bCs/>
                <w:noProof w:val="0"/>
                <w:sz w:val="24"/>
                <w:szCs w:val="24"/>
              </w:rPr>
              <w:t>G.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BA5722">
            <w:pPr>
              <w:rPr>
                <w:bCs/>
                <w:noProof w:val="0"/>
                <w:sz w:val="24"/>
                <w:szCs w:val="24"/>
              </w:rPr>
            </w:pPr>
            <w:r w:rsidRPr="009E7BDA">
              <w:rPr>
                <w:bCs/>
                <w:noProof w:val="0"/>
                <w:sz w:val="24"/>
                <w:szCs w:val="24"/>
              </w:rPr>
              <w:t>MÉRLEG SZERINTI EREDMÉNY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b/>
                <w:noProof w:val="0"/>
                <w:sz w:val="24"/>
                <w:szCs w:val="24"/>
              </w:rPr>
            </w:pPr>
            <w:r w:rsidRPr="008B4BB5">
              <w:rPr>
                <w:b/>
                <w:noProof w:val="0"/>
                <w:sz w:val="24"/>
                <w:szCs w:val="24"/>
              </w:rPr>
              <w:t xml:space="preserve">         429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b/>
                <w:noProof w:val="0"/>
                <w:sz w:val="24"/>
                <w:szCs w:val="24"/>
              </w:rPr>
            </w:pPr>
            <w:r w:rsidRPr="008B4BB5">
              <w:rPr>
                <w:b/>
                <w:noProof w:val="0"/>
                <w:sz w:val="24"/>
                <w:szCs w:val="24"/>
              </w:rPr>
              <w:t xml:space="preserve">      1 772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b/>
                <w:noProof w:val="0"/>
                <w:sz w:val="24"/>
                <w:szCs w:val="24"/>
              </w:rPr>
            </w:pPr>
            <w:r w:rsidRPr="008B4BB5">
              <w:rPr>
                <w:b/>
                <w:noProof w:val="0"/>
                <w:sz w:val="24"/>
                <w:szCs w:val="24"/>
              </w:rPr>
              <w:t xml:space="preserve">    1 343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8B4BB5" w:rsidRDefault="002F7181" w:rsidP="00BA5722">
            <w:pPr>
              <w:jc w:val="right"/>
              <w:rPr>
                <w:b/>
                <w:noProof w:val="0"/>
                <w:sz w:val="24"/>
                <w:szCs w:val="24"/>
              </w:rPr>
            </w:pPr>
            <w:r w:rsidRPr="008B4BB5">
              <w:rPr>
                <w:b/>
                <w:noProof w:val="0"/>
                <w:sz w:val="24"/>
                <w:szCs w:val="24"/>
              </w:rPr>
              <w:t>313,05%</w:t>
            </w:r>
          </w:p>
        </w:tc>
      </w:tr>
    </w:tbl>
    <w:p w:rsidR="002F7181" w:rsidRDefault="002F7181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Default="002F7181" w:rsidP="00BA5722">
      <w:pPr>
        <w:tabs>
          <w:tab w:val="left" w:pos="971"/>
        </w:tabs>
      </w:pPr>
      <w:r>
        <w:tab/>
      </w:r>
    </w:p>
    <w:p w:rsidR="002F7181" w:rsidRDefault="002F7181">
      <w:pPr>
        <w:spacing w:after="200" w:line="276" w:lineRule="auto"/>
      </w:pPr>
      <w:r>
        <w:br w:type="page"/>
      </w:r>
    </w:p>
    <w:p w:rsidR="002F7181" w:rsidRPr="00D8307C" w:rsidRDefault="002F7181" w:rsidP="00D8307C">
      <w:pPr>
        <w:pStyle w:val="Norml1"/>
        <w:numPr>
          <w:ilvl w:val="0"/>
          <w:numId w:val="1"/>
        </w:numPr>
        <w:tabs>
          <w:tab w:val="left" w:pos="9360"/>
        </w:tabs>
        <w:rPr>
          <w:b/>
        </w:rPr>
      </w:pPr>
      <w:r w:rsidRPr="002633C3">
        <w:rPr>
          <w:b/>
        </w:rPr>
        <w:t xml:space="preserve">A felmerült költségek és </w:t>
      </w:r>
      <w:r>
        <w:rPr>
          <w:b/>
        </w:rPr>
        <w:t xml:space="preserve">ráfordítások </w:t>
      </w:r>
      <w:r w:rsidRPr="002633C3">
        <w:rPr>
          <w:b/>
        </w:rPr>
        <w:t>részletezése</w:t>
      </w:r>
    </w:p>
    <w:p w:rsidR="002F7181" w:rsidRPr="002633C3" w:rsidRDefault="002F7181" w:rsidP="00BA5722">
      <w:pPr>
        <w:pStyle w:val="Norml1"/>
        <w:rPr>
          <w:b/>
        </w:rPr>
      </w:pPr>
      <w:r w:rsidRPr="002633C3">
        <w:rPr>
          <w:b/>
        </w:rPr>
        <w:tab/>
      </w:r>
      <w:r w:rsidRPr="002633C3">
        <w:rPr>
          <w:b/>
        </w:rPr>
        <w:tab/>
      </w:r>
      <w:r w:rsidRPr="002633C3">
        <w:rPr>
          <w:b/>
        </w:rPr>
        <w:tab/>
      </w:r>
      <w:r w:rsidRPr="002633C3">
        <w:rPr>
          <w:b/>
        </w:rPr>
        <w:tab/>
      </w:r>
      <w:r w:rsidRPr="002633C3">
        <w:rPr>
          <w:b/>
        </w:rPr>
        <w:tab/>
      </w:r>
      <w:r w:rsidRPr="002633C3">
        <w:rPr>
          <w:b/>
        </w:rPr>
        <w:tab/>
        <w:t xml:space="preserve">        </w:t>
      </w:r>
      <w:r>
        <w:rPr>
          <w:b/>
        </w:rPr>
        <w:t xml:space="preserve">                                                </w:t>
      </w:r>
      <w:r w:rsidRPr="002633C3">
        <w:rPr>
          <w:b/>
        </w:rPr>
        <w:t xml:space="preserve"> e. Ft.</w:t>
      </w:r>
    </w:p>
    <w:p w:rsidR="002F7181" w:rsidRPr="002633C3" w:rsidRDefault="002F7181" w:rsidP="00BA5722">
      <w:pPr>
        <w:pStyle w:val="Norml1"/>
        <w:rPr>
          <w:b/>
        </w:rPr>
      </w:pPr>
    </w:p>
    <w:tbl>
      <w:tblPr>
        <w:tblW w:w="0" w:type="auto"/>
        <w:jc w:val="center"/>
        <w:tblInd w:w="3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6176"/>
        <w:gridCol w:w="1701"/>
      </w:tblGrid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 w:rsidRPr="006046B8">
              <w:rPr>
                <w:b/>
              </w:rPr>
              <w:t>Megnevezés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2013.06.30.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Anyagköltségek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521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Igénybe vett szolgáltatások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706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Egyéb szolgáltatások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198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Bérköltség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11 874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Személyi jellegű egyéb kifizetések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203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Bérjárulékok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3 188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Értékcsökkenési leírás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148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151E27" w:rsidRDefault="002F7181" w:rsidP="006518A3">
            <w:pPr>
              <w:pStyle w:val="Norml1"/>
              <w:rPr>
                <w:b/>
              </w:rPr>
            </w:pPr>
            <w:r w:rsidRPr="00151E27">
              <w:rPr>
                <w:b/>
              </w:rPr>
              <w:t>Költség</w:t>
            </w:r>
            <w:r>
              <w:rPr>
                <w:b/>
              </w:rPr>
              <w:t xml:space="preserve"> </w:t>
            </w:r>
            <w:r w:rsidRPr="00151E27">
              <w:rPr>
                <w:b/>
              </w:rPr>
              <w:t>nemek 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7910E1" w:rsidRDefault="002F7181" w:rsidP="006518A3">
            <w:pPr>
              <w:pStyle w:val="Norml1"/>
              <w:jc w:val="right"/>
              <w:rPr>
                <w:b/>
              </w:rPr>
            </w:pPr>
            <w:r w:rsidRPr="007910E1">
              <w:rPr>
                <w:b/>
              </w:rPr>
              <w:t>16 838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Anyagjellegű ráfordítások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8 909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Pénzügyi műveletek ráfordításai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250</w:t>
            </w:r>
          </w:p>
        </w:tc>
      </w:tr>
      <w:tr w:rsidR="002F7181" w:rsidRPr="007910E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7910E1" w:rsidRDefault="002F7181" w:rsidP="006518A3">
            <w:pPr>
              <w:pStyle w:val="Norml1"/>
              <w:rPr>
                <w:b/>
              </w:rPr>
            </w:pPr>
            <w:r w:rsidRPr="007910E1">
              <w:rPr>
                <w:b/>
              </w:rPr>
              <w:t>Ráfordítások  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7910E1" w:rsidRDefault="002F7181" w:rsidP="006518A3">
            <w:pPr>
              <w:pStyle w:val="Norml1"/>
              <w:jc w:val="right"/>
              <w:rPr>
                <w:b/>
              </w:rPr>
            </w:pPr>
            <w:r w:rsidRPr="007910E1">
              <w:rPr>
                <w:b/>
              </w:rPr>
              <w:t>9 159</w:t>
            </w:r>
          </w:p>
        </w:tc>
      </w:tr>
      <w:tr w:rsidR="002F7181" w:rsidTr="00D8307C">
        <w:trPr>
          <w:trHeight w:val="255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</w:p>
        </w:tc>
      </w:tr>
      <w:tr w:rsidR="002F7181" w:rsidTr="00D8307C">
        <w:trPr>
          <w:trHeight w:val="70"/>
          <w:jc w:val="center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7910E1" w:rsidRDefault="002F7181" w:rsidP="006518A3">
            <w:pPr>
              <w:pStyle w:val="Norml1"/>
              <w:rPr>
                <w:b/>
              </w:rPr>
            </w:pPr>
            <w:r w:rsidRPr="007910E1">
              <w:rPr>
                <w:b/>
              </w:rPr>
              <w:t>Költségek és ráfordítások összesen: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2F7181" w:rsidRPr="007910E1" w:rsidRDefault="002F7181" w:rsidP="006518A3">
            <w:pPr>
              <w:pStyle w:val="Norml1"/>
              <w:jc w:val="right"/>
              <w:rPr>
                <w:b/>
              </w:rPr>
            </w:pPr>
            <w:r w:rsidRPr="007910E1">
              <w:rPr>
                <w:b/>
              </w:rPr>
              <w:t>25 997</w:t>
            </w:r>
          </w:p>
        </w:tc>
      </w:tr>
    </w:tbl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rPr>
          <w:b/>
        </w:rPr>
      </w:pPr>
    </w:p>
    <w:p w:rsidR="002F7181" w:rsidRDefault="002F7181" w:rsidP="00BA5722">
      <w:pPr>
        <w:pStyle w:val="Norml1"/>
        <w:numPr>
          <w:ilvl w:val="0"/>
          <w:numId w:val="1"/>
        </w:numPr>
        <w:tabs>
          <w:tab w:val="left" w:pos="9360"/>
        </w:tabs>
        <w:rPr>
          <w:b/>
        </w:rPr>
      </w:pPr>
      <w:r w:rsidRPr="00DD2A03">
        <w:rPr>
          <w:b/>
        </w:rPr>
        <w:t>Az adózás előtti</w:t>
      </w:r>
      <w:r>
        <w:rPr>
          <w:b/>
        </w:rPr>
        <w:t>,</w:t>
      </w:r>
      <w:r w:rsidRPr="00DD2A03">
        <w:rPr>
          <w:b/>
        </w:rPr>
        <w:t xml:space="preserve"> adózott eredmény</w:t>
      </w:r>
      <w:r>
        <w:rPr>
          <w:b/>
        </w:rPr>
        <w:t xml:space="preserve"> kimutatása</w:t>
      </w:r>
      <w:r w:rsidRPr="00DD2A03">
        <w:rPr>
          <w:b/>
        </w:rPr>
        <w:t xml:space="preserve"> </w:t>
      </w:r>
    </w:p>
    <w:p w:rsidR="002F7181" w:rsidRPr="00DD2A03" w:rsidRDefault="002F7181" w:rsidP="00BA5722">
      <w:pPr>
        <w:pStyle w:val="Norml1"/>
        <w:tabs>
          <w:tab w:val="left" w:pos="9360"/>
        </w:tabs>
        <w:ind w:left="720"/>
        <w:rPr>
          <w:b/>
        </w:rPr>
      </w:pPr>
    </w:p>
    <w:p w:rsidR="002F7181" w:rsidRPr="00D8307C" w:rsidRDefault="002F7181" w:rsidP="00BA5722">
      <w:pPr>
        <w:pStyle w:val="Header"/>
        <w:rPr>
          <w:sz w:val="24"/>
        </w:rPr>
      </w:pPr>
      <w:r w:rsidRPr="00D8307C">
        <w:rPr>
          <w:sz w:val="24"/>
        </w:rPr>
        <w:t xml:space="preserve">           Az adózás előtti eredmény alakulását a következő kimutatás szemlélteti.</w:t>
      </w:r>
    </w:p>
    <w:p w:rsidR="002F7181" w:rsidRDefault="002F7181" w:rsidP="00BA5722">
      <w:pPr>
        <w:pStyle w:val="Header"/>
      </w:pPr>
    </w:p>
    <w:tbl>
      <w:tblPr>
        <w:tblW w:w="7656" w:type="dxa"/>
        <w:jc w:val="center"/>
        <w:tblInd w:w="-33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4041"/>
        <w:gridCol w:w="1791"/>
        <w:gridCol w:w="1824"/>
      </w:tblGrid>
      <w:tr w:rsidR="002F7181" w:rsidTr="00D8307C">
        <w:trPr>
          <w:trHeight w:val="576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EF220B" w:rsidRDefault="002F7181" w:rsidP="00D8307C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EF220B">
              <w:rPr>
                <w:b/>
              </w:rPr>
              <w:t>egnevezés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2012.12.31.</w:t>
            </w:r>
          </w:p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e. Ft.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2013.06.30.</w:t>
            </w:r>
          </w:p>
          <w:p w:rsidR="002F7181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e. Ft.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Üzemi (üzleti) tevékenység eredménye       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-15 344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2 007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Pénzügyi műveletek eredménye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-814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-235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Szokásos vállalkozási eredmény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-16 158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1 772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Rendkívüli eredmény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16 742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Adózás előtti eredmény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584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1 772</w:t>
            </w:r>
          </w:p>
        </w:tc>
      </w:tr>
      <w:tr w:rsidR="002F7181" w:rsidTr="006518A3">
        <w:trPr>
          <w:trHeight w:val="285"/>
          <w:jc w:val="center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Adózott eredmény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429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1 772</w:t>
            </w:r>
          </w:p>
        </w:tc>
      </w:tr>
    </w:tbl>
    <w:p w:rsidR="002F7181" w:rsidRDefault="002F7181" w:rsidP="00BA5722">
      <w:pPr>
        <w:pStyle w:val="Norml1"/>
        <w:rPr>
          <w:b/>
        </w:rPr>
      </w:pPr>
    </w:p>
    <w:p w:rsidR="002F7181" w:rsidRPr="00D8307C" w:rsidRDefault="002F7181" w:rsidP="00BA5722">
      <w:pPr>
        <w:pStyle w:val="Norml1"/>
        <w:rPr>
          <w:b/>
          <w:sz w:val="32"/>
        </w:rPr>
      </w:pPr>
    </w:p>
    <w:p w:rsidR="002F7181" w:rsidRPr="00D8307C" w:rsidRDefault="002F7181" w:rsidP="00BA5722">
      <w:pPr>
        <w:pStyle w:val="Header"/>
        <w:jc w:val="both"/>
        <w:rPr>
          <w:sz w:val="24"/>
        </w:rPr>
      </w:pPr>
      <w:r w:rsidRPr="00D8307C">
        <w:rPr>
          <w:sz w:val="24"/>
        </w:rPr>
        <w:t xml:space="preserve">A pénzügyi műveletek eredménye a bankban kapott kamat és kapott tagi kölcsön után fizetendő kamat eredményét tartalmazza. </w:t>
      </w:r>
    </w:p>
    <w:p w:rsidR="002F7181" w:rsidRDefault="002F7181" w:rsidP="00BA5722">
      <w:pPr>
        <w:tabs>
          <w:tab w:val="left" w:pos="971"/>
        </w:tabs>
        <w:rPr>
          <w:sz w:val="24"/>
        </w:rPr>
      </w:pPr>
    </w:p>
    <w:p w:rsidR="002F7181" w:rsidRDefault="002F7181" w:rsidP="00D8307C">
      <w:pPr>
        <w:pStyle w:val="Header"/>
        <w:jc w:val="both"/>
      </w:pPr>
    </w:p>
    <w:p w:rsidR="002F7181" w:rsidRDefault="002F7181" w:rsidP="00D8307C">
      <w:pPr>
        <w:jc w:val="both"/>
        <w:rPr>
          <w:sz w:val="24"/>
        </w:rPr>
      </w:pPr>
      <w:r w:rsidRPr="004C4DA5">
        <w:rPr>
          <w:sz w:val="24"/>
          <w:szCs w:val="24"/>
        </w:rPr>
        <w:t>A Savaria Városfejlesztési</w:t>
      </w:r>
      <w:r>
        <w:rPr>
          <w:sz w:val="24"/>
          <w:szCs w:val="24"/>
        </w:rPr>
        <w:t xml:space="preserve"> Nonprofit</w:t>
      </w:r>
      <w:r w:rsidRPr="004C4DA5">
        <w:rPr>
          <w:sz w:val="24"/>
          <w:szCs w:val="24"/>
        </w:rPr>
        <w:t xml:space="preserve"> K</w:t>
      </w:r>
      <w:r>
        <w:rPr>
          <w:sz w:val="24"/>
          <w:szCs w:val="24"/>
        </w:rPr>
        <w:t>FT</w:t>
      </w:r>
      <w:r>
        <w:t xml:space="preserve"> </w:t>
      </w:r>
      <w:r w:rsidRPr="00A8464E">
        <w:rPr>
          <w:sz w:val="24"/>
          <w:szCs w:val="24"/>
        </w:rPr>
        <w:t>Felügyelő</w:t>
      </w:r>
      <w:r>
        <w:rPr>
          <w:sz w:val="24"/>
          <w:szCs w:val="24"/>
        </w:rPr>
        <w:t xml:space="preserve"> Bizottsága a társaság 2013. I félévi Mérleg beszámolóját </w:t>
      </w:r>
      <w:r>
        <w:rPr>
          <w:sz w:val="24"/>
        </w:rPr>
        <w:t>elfogadta, és a Közgyűlésnek jóváhagyásra javasolta.</w:t>
      </w:r>
    </w:p>
    <w:p w:rsidR="002F7181" w:rsidRDefault="002F7181" w:rsidP="00D8307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2F7181" w:rsidRDefault="002F7181" w:rsidP="00D8307C">
      <w:pPr>
        <w:jc w:val="both"/>
        <w:rPr>
          <w:sz w:val="24"/>
        </w:rPr>
      </w:pPr>
      <w:r>
        <w:rPr>
          <w:sz w:val="24"/>
        </w:rPr>
        <w:t xml:space="preserve"> 2013. I.félévi eredményből osztalék kifizetésére nem került sor.</w:t>
      </w:r>
    </w:p>
    <w:p w:rsidR="002F7181" w:rsidRPr="00D8307C" w:rsidRDefault="002F7181" w:rsidP="00BA5722">
      <w:pPr>
        <w:tabs>
          <w:tab w:val="left" w:pos="971"/>
        </w:tabs>
        <w:rPr>
          <w:sz w:val="24"/>
        </w:rPr>
      </w:pPr>
    </w:p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tbl>
      <w:tblPr>
        <w:tblW w:w="11111" w:type="dxa"/>
        <w:jc w:val="center"/>
        <w:tblCellMar>
          <w:left w:w="70" w:type="dxa"/>
          <w:right w:w="70" w:type="dxa"/>
        </w:tblCellMar>
        <w:tblLook w:val="00A0"/>
      </w:tblPr>
      <w:tblGrid>
        <w:gridCol w:w="1291"/>
        <w:gridCol w:w="3581"/>
        <w:gridCol w:w="1418"/>
        <w:gridCol w:w="1472"/>
        <w:gridCol w:w="1220"/>
        <w:gridCol w:w="2129"/>
      </w:tblGrid>
      <w:tr w:rsidR="002F7181" w:rsidRPr="003B460E" w:rsidTr="00197AC6">
        <w:trPr>
          <w:trHeight w:val="820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197AC6">
            <w:pPr>
              <w:jc w:val="center"/>
              <w:rPr>
                <w:noProof w:val="0"/>
                <w:sz w:val="28"/>
                <w:szCs w:val="28"/>
              </w:rPr>
            </w:pPr>
            <w:r w:rsidRPr="003B460E">
              <w:rPr>
                <w:b/>
                <w:bCs/>
                <w:noProof w:val="0"/>
                <w:sz w:val="28"/>
                <w:szCs w:val="28"/>
              </w:rPr>
              <w:t>A kiegészítő melléklet általános elemzési mutatói</w:t>
            </w:r>
          </w:p>
          <w:p w:rsidR="002F7181" w:rsidRPr="003B460E" w:rsidRDefault="002F7181" w:rsidP="00197AC6">
            <w:pPr>
              <w:jc w:val="center"/>
              <w:rPr>
                <w:noProof w:val="0"/>
                <w:sz w:val="28"/>
                <w:szCs w:val="28"/>
              </w:rPr>
            </w:pPr>
            <w:r w:rsidRPr="003B460E">
              <w:rPr>
                <w:b/>
                <w:bCs/>
                <w:noProof w:val="0"/>
                <w:sz w:val="28"/>
                <w:szCs w:val="28"/>
              </w:rPr>
              <w:t>2013.01.01 - 2013.06.30. évben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S</w:t>
            </w:r>
            <w:r>
              <w:rPr>
                <w:noProof w:val="0"/>
                <w:sz w:val="24"/>
                <w:szCs w:val="24"/>
              </w:rPr>
              <w:t>or</w:t>
            </w:r>
            <w:r w:rsidRPr="003B460E">
              <w:rPr>
                <w:noProof w:val="0"/>
                <w:sz w:val="24"/>
                <w:szCs w:val="24"/>
              </w:rPr>
              <w:t>sz</w:t>
            </w:r>
            <w:r>
              <w:rPr>
                <w:noProof w:val="0"/>
                <w:sz w:val="24"/>
                <w:szCs w:val="24"/>
              </w:rPr>
              <w:t>ám</w:t>
            </w:r>
          </w:p>
        </w:tc>
        <w:tc>
          <w:tcPr>
            <w:tcW w:w="4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6518A3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Megnevezés, a mutató kiszámítása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181" w:rsidRPr="009E7BDA" w:rsidRDefault="002F7181" w:rsidP="006518A3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2012.12.31 %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181" w:rsidRPr="009E7BDA" w:rsidRDefault="002F7181" w:rsidP="006518A3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2013.06.30 %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Index</w:t>
            </w:r>
          </w:p>
          <w:p w:rsidR="002F7181" w:rsidRPr="009E7BDA" w:rsidRDefault="002F7181" w:rsidP="006518A3">
            <w:pPr>
              <w:jc w:val="center"/>
              <w:rPr>
                <w:b/>
                <w:noProof w:val="0"/>
                <w:sz w:val="24"/>
                <w:szCs w:val="24"/>
              </w:rPr>
            </w:pPr>
            <w:r w:rsidRPr="009E7BDA">
              <w:rPr>
                <w:b/>
                <w:noProof w:val="0"/>
                <w:sz w:val="24"/>
                <w:szCs w:val="24"/>
              </w:rPr>
              <w:t>%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1.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Saját tőke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Saját tőke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6,1%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14,3%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233,5%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Összes forrás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2.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Saját tőke növekedés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Saját tőke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185,8%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540,2%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290,7%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Jegyzett tőke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3.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Saját tőke és a befektetett tőke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Saját tőke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78,0%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244,7%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313,7%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Befektett eszközök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4.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Idegen tőke aránya az összes forráshoz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Kölcsönvett tőke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76,8%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70,6%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92,0%</w:t>
            </w:r>
          </w:p>
        </w:tc>
      </w:tr>
      <w:tr w:rsidR="002F7181" w:rsidRPr="003B460E" w:rsidTr="006518A3">
        <w:trPr>
          <w:trHeight w:val="31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Összes forrás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5.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Likvidítás mutató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Likvíd aktívák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1,14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1,33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116,3%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Likvíd passzívák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6.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Tárgyi eszközök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Tárgyi eszköz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7,9%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5,8%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74,4%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Összes eszköz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7.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Forgóeszközök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Forgóeszközök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87,9%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94,0%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107,0%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Összes eszköz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8.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Források aránya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Kötelezettségek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1253,3%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493,6%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39,4%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Saját tőke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9.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Árbevétel arányos nyereség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Üzleti eredmény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31,4%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-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Nettó árbevétel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10.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Eszközarányos jövedelmezőség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Adózás előtti eredmény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3,9%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9,4%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243,7%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Összes eszköz értéke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11.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Vagyonarányos jövedelmezőség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Adózás előtti eredmény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62,9%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65,6%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104,4%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Saját tőke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12.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Tőke arányos nyereség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Adózott nyereség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85,8%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354,4%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413,1%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Jegyzett tőke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4"/>
                <w:szCs w:val="24"/>
              </w:rPr>
            </w:pPr>
            <w:r w:rsidRPr="003B460E">
              <w:rPr>
                <w:noProof w:val="0"/>
                <w:sz w:val="24"/>
                <w:szCs w:val="24"/>
              </w:rPr>
              <w:t>13.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9E7BDA" w:rsidRDefault="002F7181" w:rsidP="006518A3">
            <w:pPr>
              <w:rPr>
                <w:noProof w:val="0"/>
                <w:sz w:val="24"/>
                <w:szCs w:val="22"/>
              </w:rPr>
            </w:pPr>
            <w:r w:rsidRPr="009E7BDA">
              <w:rPr>
                <w:noProof w:val="0"/>
                <w:sz w:val="24"/>
                <w:szCs w:val="22"/>
              </w:rPr>
              <w:t>Tárgyi eszközök használhatósági foka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Tárgyi eszköz nettó értéke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-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181" w:rsidRPr="003B460E" w:rsidRDefault="002F7181" w:rsidP="006518A3">
            <w:pPr>
              <w:jc w:val="center"/>
              <w:rPr>
                <w:noProof w:val="0"/>
                <w:sz w:val="22"/>
                <w:szCs w:val="22"/>
              </w:rPr>
            </w:pPr>
            <w:r w:rsidRPr="003B460E">
              <w:rPr>
                <w:noProof w:val="0"/>
                <w:sz w:val="22"/>
                <w:szCs w:val="22"/>
              </w:rPr>
              <w:t>-</w:t>
            </w:r>
          </w:p>
        </w:tc>
      </w:tr>
      <w:tr w:rsidR="002F7181" w:rsidRPr="003B460E" w:rsidTr="006518A3">
        <w:trPr>
          <w:trHeight w:val="300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7181" w:rsidRPr="003B460E" w:rsidRDefault="002F7181" w:rsidP="006518A3">
            <w:pPr>
              <w:jc w:val="center"/>
              <w:rPr>
                <w:noProof w:val="0"/>
              </w:rPr>
            </w:pPr>
            <w:r w:rsidRPr="003B460E">
              <w:rPr>
                <w:noProof w:val="0"/>
              </w:rPr>
              <w:t>Tárgyi eszköz bruttó értéke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181" w:rsidRPr="003B460E" w:rsidRDefault="002F7181" w:rsidP="006518A3">
            <w:pPr>
              <w:rPr>
                <w:noProof w:val="0"/>
                <w:sz w:val="22"/>
                <w:szCs w:val="22"/>
              </w:rPr>
            </w:pPr>
          </w:p>
        </w:tc>
      </w:tr>
    </w:tbl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BA5722" w:rsidRDefault="002F7181" w:rsidP="00BA5722"/>
    <w:p w:rsidR="002F7181" w:rsidRPr="009E7BDA" w:rsidRDefault="002F7181" w:rsidP="00D8307C">
      <w:pPr>
        <w:pStyle w:val="Cmsor41"/>
        <w:jc w:val="center"/>
        <w:rPr>
          <w:spacing w:val="30"/>
          <w:sz w:val="32"/>
          <w:szCs w:val="32"/>
        </w:rPr>
      </w:pPr>
      <w:r w:rsidRPr="009E7BDA">
        <w:rPr>
          <w:spacing w:val="30"/>
          <w:sz w:val="32"/>
          <w:szCs w:val="32"/>
        </w:rPr>
        <w:t>TÁJÉKOZTATÓ ADATOK</w:t>
      </w: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Pr="00A47F82" w:rsidRDefault="002F7181" w:rsidP="00D8307C">
      <w:pPr>
        <w:pStyle w:val="Norml1"/>
        <w:numPr>
          <w:ilvl w:val="0"/>
          <w:numId w:val="10"/>
        </w:numPr>
      </w:pPr>
      <w:r w:rsidRPr="00A47F82">
        <w:rPr>
          <w:b/>
          <w:bCs/>
        </w:rPr>
        <w:t>A tárgyévben foglalkoztatott munkavállalók átlagos statisztikai létszáma, bérköltsége, és a személyi jellegű egyéb kifizetések</w:t>
      </w:r>
    </w:p>
    <w:p w:rsidR="002F7181" w:rsidRPr="00A47F82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  <w:ind w:firstLine="720"/>
      </w:pPr>
      <w:r>
        <w:t xml:space="preserve">  Átlagos statisztikai állományi létszám (fő)</w:t>
      </w:r>
    </w:p>
    <w:p w:rsidR="002F7181" w:rsidRDefault="002F7181" w:rsidP="00D8307C">
      <w:pPr>
        <w:pStyle w:val="Norml1"/>
      </w:pPr>
    </w:p>
    <w:tbl>
      <w:tblPr>
        <w:tblW w:w="0" w:type="auto"/>
        <w:jc w:val="center"/>
        <w:tblInd w:w="9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3886"/>
        <w:gridCol w:w="1843"/>
        <w:gridCol w:w="1902"/>
      </w:tblGrid>
      <w:tr w:rsidR="002F7181" w:rsidTr="006518A3">
        <w:trPr>
          <w:trHeight w:val="490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 w:rsidRPr="00C70B1D">
              <w:rPr>
                <w:b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Pr="00C70B1D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C70B1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70B1D">
              <w:rPr>
                <w:b/>
              </w:rPr>
              <w:t>3</w:t>
            </w:r>
            <w:r>
              <w:rPr>
                <w:b/>
              </w:rPr>
              <w:t>1.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2013.06.30.</w:t>
            </w:r>
          </w:p>
        </w:tc>
      </w:tr>
      <w:tr w:rsidR="002F7181" w:rsidTr="006518A3">
        <w:trPr>
          <w:trHeight w:val="412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Teljes munkaidőben foglalkozatott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</w:t>
            </w:r>
          </w:p>
        </w:tc>
      </w:tr>
      <w:tr w:rsidR="002F7181" w:rsidTr="006518A3">
        <w:trPr>
          <w:trHeight w:val="418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- fizikai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10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- szellemi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5</w:t>
            </w:r>
          </w:p>
        </w:tc>
      </w:tr>
      <w:tr w:rsidR="002F7181" w:rsidTr="006518A3">
        <w:trPr>
          <w:trHeight w:val="416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Részmunkaidős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08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Nyugdíjas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14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74145" w:rsidRDefault="002F7181" w:rsidP="006518A3">
            <w:pPr>
              <w:pStyle w:val="Norml1"/>
              <w:rPr>
                <w:b/>
              </w:rPr>
            </w:pPr>
            <w:r w:rsidRPr="00574145">
              <w:rPr>
                <w:b/>
              </w:rPr>
              <w:t>Összesen: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E2359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E2359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F7181" w:rsidTr="006518A3">
        <w:trPr>
          <w:trHeight w:val="255"/>
          <w:jc w:val="center"/>
        </w:trPr>
        <w:tc>
          <w:tcPr>
            <w:tcW w:w="3886" w:type="dxa"/>
            <w:tcBorders>
              <w:top w:val="single" w:sz="4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</w:p>
          <w:p w:rsidR="002F7181" w:rsidRDefault="002F7181" w:rsidP="006518A3">
            <w:pPr>
              <w:pStyle w:val="Norml1"/>
            </w:pPr>
          </w:p>
          <w:p w:rsidR="002F7181" w:rsidRDefault="002F7181" w:rsidP="006518A3">
            <w:pPr>
              <w:pStyle w:val="Norml1"/>
            </w:pPr>
            <w:r>
              <w:t xml:space="preserve">Bérköltség:                                                                                                                                                                        </w:t>
            </w:r>
          </w:p>
          <w:p w:rsidR="002F7181" w:rsidRDefault="002F7181" w:rsidP="006518A3">
            <w:pPr>
              <w:pStyle w:val="Norml1"/>
            </w:pP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</w:t>
            </w:r>
          </w:p>
        </w:tc>
        <w:tc>
          <w:tcPr>
            <w:tcW w:w="1902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           e.Ft.</w:t>
            </w:r>
          </w:p>
        </w:tc>
      </w:tr>
      <w:tr w:rsidR="002F7181" w:rsidTr="006518A3">
        <w:trPr>
          <w:trHeight w:val="474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 w:rsidRPr="00C70B1D">
              <w:rPr>
                <w:b/>
              </w:rPr>
              <w:t>Megnevezés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2012.12.31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>2013.06.30.</w:t>
            </w:r>
          </w:p>
        </w:tc>
      </w:tr>
      <w:tr w:rsidR="002F7181" w:rsidTr="006518A3">
        <w:trPr>
          <w:trHeight w:val="523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Teljes munkaidőben foglalkozatott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21 669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11 874</w:t>
            </w:r>
          </w:p>
        </w:tc>
      </w:tr>
      <w:tr w:rsidR="002F7181" w:rsidTr="006518A3">
        <w:trPr>
          <w:trHeight w:val="422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- fizikai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00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 xml:space="preserve">   - szellemi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21 669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11 874</w:t>
            </w:r>
          </w:p>
        </w:tc>
      </w:tr>
      <w:tr w:rsidR="002F7181" w:rsidTr="006518A3">
        <w:trPr>
          <w:trHeight w:val="416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Részmunkaidős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24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Nyugdíjas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E2359" w:rsidRDefault="002F7181" w:rsidP="006518A3">
            <w:pPr>
              <w:pStyle w:val="Norml1"/>
              <w:jc w:val="right"/>
            </w:pPr>
            <w: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9E2359" w:rsidRDefault="002F7181" w:rsidP="006518A3">
            <w:pPr>
              <w:pStyle w:val="Norml1"/>
              <w:jc w:val="right"/>
            </w:pPr>
            <w:r>
              <w:t>0</w:t>
            </w:r>
          </w:p>
        </w:tc>
      </w:tr>
      <w:tr w:rsidR="002F7181" w:rsidTr="006518A3">
        <w:trPr>
          <w:trHeight w:val="402"/>
          <w:jc w:val="center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74145" w:rsidRDefault="002F7181" w:rsidP="006518A3">
            <w:pPr>
              <w:pStyle w:val="Norml1"/>
              <w:rPr>
                <w:b/>
              </w:rPr>
            </w:pPr>
            <w:r w:rsidRPr="00574145">
              <w:rPr>
                <w:b/>
              </w:rPr>
              <w:t>Összesen: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74145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21 669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74145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11 874</w:t>
            </w:r>
          </w:p>
        </w:tc>
      </w:tr>
    </w:tbl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  <w:r>
        <w:t xml:space="preserve">                                Személyi jellegű egyéb kifizetések 2013. 06.30-ig e. Ft.</w:t>
      </w:r>
    </w:p>
    <w:p w:rsidR="002F7181" w:rsidRDefault="002F7181" w:rsidP="00D8307C">
      <w:pPr>
        <w:pStyle w:val="Norml1"/>
      </w:pPr>
    </w:p>
    <w:tbl>
      <w:tblPr>
        <w:tblW w:w="0" w:type="auto"/>
        <w:jc w:val="center"/>
        <w:tblInd w:w="-141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/>
      </w:tblPr>
      <w:tblGrid>
        <w:gridCol w:w="3506"/>
        <w:gridCol w:w="1729"/>
      </w:tblGrid>
      <w:tr w:rsidR="002F7181" w:rsidRPr="00C70B1D" w:rsidTr="006518A3">
        <w:trPr>
          <w:trHeight w:val="474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 w:rsidRPr="00C70B1D">
              <w:rPr>
                <w:b/>
              </w:rPr>
              <w:t>Megnevezés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F7181" w:rsidRPr="00C70B1D" w:rsidRDefault="002F7181" w:rsidP="006518A3">
            <w:pPr>
              <w:pStyle w:val="Norml1"/>
              <w:jc w:val="center"/>
              <w:rPr>
                <w:b/>
              </w:rPr>
            </w:pPr>
            <w:r>
              <w:rPr>
                <w:b/>
              </w:rPr>
              <w:t xml:space="preserve"> Foglalkozta-tottak  részére kifizetett</w:t>
            </w:r>
          </w:p>
        </w:tc>
      </w:tr>
      <w:tr w:rsidR="002F7181" w:rsidTr="006518A3">
        <w:trPr>
          <w:trHeight w:val="400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Belföldi kiküldetés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C97260" w:rsidRDefault="002F7181" w:rsidP="006518A3">
            <w:pPr>
              <w:pStyle w:val="Norml1"/>
              <w:jc w:val="right"/>
            </w:pPr>
            <w:r>
              <w:t>138</w:t>
            </w:r>
          </w:p>
        </w:tc>
      </w:tr>
      <w:tr w:rsidR="002F7181" w:rsidTr="006518A3">
        <w:trPr>
          <w:trHeight w:val="416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Default="002F7181" w:rsidP="006518A3">
            <w:pPr>
              <w:pStyle w:val="Norml1"/>
            </w:pPr>
            <w:r>
              <w:t>Egyéb személyi jellegű ráfordítás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C97260" w:rsidRDefault="002F7181" w:rsidP="006518A3">
            <w:pPr>
              <w:pStyle w:val="Norml1"/>
              <w:jc w:val="right"/>
            </w:pPr>
            <w:r>
              <w:t>65</w:t>
            </w:r>
          </w:p>
        </w:tc>
      </w:tr>
      <w:tr w:rsidR="002F7181" w:rsidRPr="00574145" w:rsidTr="006518A3">
        <w:trPr>
          <w:trHeight w:val="402"/>
          <w:jc w:val="center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574145" w:rsidRDefault="002F7181" w:rsidP="006518A3">
            <w:pPr>
              <w:pStyle w:val="Norml1"/>
              <w:rPr>
                <w:b/>
              </w:rPr>
            </w:pPr>
            <w:r w:rsidRPr="00574145">
              <w:rPr>
                <w:b/>
              </w:rPr>
              <w:t>Összesen: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2F7181" w:rsidRPr="00C97260" w:rsidRDefault="002F7181" w:rsidP="006518A3">
            <w:pPr>
              <w:pStyle w:val="Norml1"/>
              <w:jc w:val="right"/>
              <w:rPr>
                <w:b/>
              </w:rPr>
            </w:pPr>
            <w:r>
              <w:rPr>
                <w:b/>
              </w:rPr>
              <w:t>203</w:t>
            </w:r>
          </w:p>
        </w:tc>
      </w:tr>
    </w:tbl>
    <w:p w:rsidR="002F7181" w:rsidRPr="00BA5722" w:rsidRDefault="002F7181" w:rsidP="00BA5722"/>
    <w:p w:rsidR="002F7181" w:rsidRPr="0017255D" w:rsidRDefault="002F7181" w:rsidP="00D8307C">
      <w:pPr>
        <w:pStyle w:val="Norml1"/>
        <w:numPr>
          <w:ilvl w:val="0"/>
          <w:numId w:val="10"/>
        </w:numPr>
        <w:rPr>
          <w:b/>
          <w:u w:val="single"/>
        </w:rPr>
      </w:pPr>
      <w:r>
        <w:rPr>
          <w:b/>
        </w:rPr>
        <w:t>V</w:t>
      </w:r>
      <w:r w:rsidRPr="00E73CAC">
        <w:rPr>
          <w:b/>
        </w:rPr>
        <w:t>eszélyes hulladékok, környezetre káros anyagok bemutatása</w:t>
      </w:r>
    </w:p>
    <w:p w:rsidR="002F7181" w:rsidRPr="00E73CAC" w:rsidRDefault="002F7181" w:rsidP="00D8307C">
      <w:pPr>
        <w:pStyle w:val="Norml1"/>
        <w:ind w:left="720"/>
        <w:rPr>
          <w:b/>
          <w:u w:val="single"/>
        </w:rPr>
      </w:pPr>
    </w:p>
    <w:p w:rsidR="002F7181" w:rsidRDefault="002F7181" w:rsidP="00D8307C">
      <w:pPr>
        <w:pStyle w:val="Norml1"/>
        <w:jc w:val="both"/>
      </w:pPr>
      <w:r>
        <w:t xml:space="preserve">A Társaság környezetre káros tevékenységet nem folytat, így környezetvédelemmel kapcsolatos eszközei és kiadásai nincsenek. </w:t>
      </w:r>
    </w:p>
    <w:p w:rsidR="002F7181" w:rsidRDefault="002F7181" w:rsidP="00D8307C">
      <w:pPr>
        <w:pStyle w:val="Norml1"/>
        <w:jc w:val="both"/>
      </w:pPr>
      <w:r>
        <w:t xml:space="preserve">. </w:t>
      </w:r>
    </w:p>
    <w:p w:rsidR="002F7181" w:rsidRPr="009834FF" w:rsidRDefault="002F7181" w:rsidP="00D8307C">
      <w:pPr>
        <w:pStyle w:val="Norml1"/>
        <w:numPr>
          <w:ilvl w:val="0"/>
          <w:numId w:val="10"/>
        </w:numPr>
        <w:rPr>
          <w:b/>
        </w:rPr>
      </w:pPr>
      <w:r w:rsidRPr="009834FF">
        <w:rPr>
          <w:b/>
        </w:rPr>
        <w:t>Kutatás és kísérleti fejlesztés tárgyévi költségei</w:t>
      </w: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  <w:r>
        <w:t>A társaságnak 2013. félévében kutatás és kísérleti fejlesztéssel kapcsolatos költségei nem merültek fel.</w:t>
      </w: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Pr="009834FF" w:rsidRDefault="002F7181" w:rsidP="00D8307C">
      <w:pPr>
        <w:pStyle w:val="Norml1"/>
        <w:numPr>
          <w:ilvl w:val="0"/>
          <w:numId w:val="10"/>
        </w:numPr>
        <w:rPr>
          <w:b/>
        </w:rPr>
      </w:pPr>
      <w:r w:rsidRPr="009834FF">
        <w:rPr>
          <w:b/>
        </w:rPr>
        <w:t>Egyéb információk</w:t>
      </w: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  <w:jc w:val="both"/>
      </w:pPr>
      <w:r>
        <w:t>A kiegészítő melléklet a Számviteli törvénynek és egyéb jogszabályoknak megfelelően, a számviteli alapelveket figyelembe véve, a mérleggel és eredmény kimutatással szoros összhangban készült, és a társaság valós vagyoni helyzetét tükrözi.</w:t>
      </w:r>
    </w:p>
    <w:p w:rsidR="002F7181" w:rsidRDefault="002F7181" w:rsidP="00D8307C">
      <w:pPr>
        <w:pStyle w:val="Norml1"/>
        <w:jc w:val="both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  <w:r>
        <w:t>Szombathely, 2013. szeptember 02.</w:t>
      </w: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D8307C">
      <w:pPr>
        <w:pStyle w:val="Norml1"/>
      </w:pPr>
    </w:p>
    <w:p w:rsidR="002F7181" w:rsidRDefault="002F7181" w:rsidP="000B2E7D">
      <w:pPr>
        <w:pStyle w:val="Norml1"/>
        <w:tabs>
          <w:tab w:val="left" w:pos="5529"/>
        </w:tabs>
      </w:pPr>
      <w:r>
        <w:tab/>
        <w:t>………………………</w:t>
      </w:r>
    </w:p>
    <w:p w:rsidR="002F7181" w:rsidRDefault="002F7181" w:rsidP="000B2E7D">
      <w:pPr>
        <w:pStyle w:val="Norml1"/>
        <w:tabs>
          <w:tab w:val="left" w:pos="5954"/>
        </w:tabs>
      </w:pPr>
      <w:r>
        <w:tab/>
        <w:t>Benkő János</w:t>
      </w:r>
    </w:p>
    <w:p w:rsidR="002F7181" w:rsidRDefault="002F7181" w:rsidP="000B2E7D">
      <w:pPr>
        <w:pStyle w:val="Norml1"/>
        <w:tabs>
          <w:tab w:val="left" w:pos="6096"/>
        </w:tabs>
      </w:pPr>
      <w:r>
        <w:tab/>
        <w:t>ügyvezető</w:t>
      </w:r>
    </w:p>
    <w:p w:rsidR="002F7181" w:rsidRPr="00BA5722" w:rsidRDefault="002F7181" w:rsidP="00D8307C">
      <w:pPr>
        <w:tabs>
          <w:tab w:val="left" w:pos="5245"/>
        </w:tabs>
      </w:pPr>
    </w:p>
    <w:sectPr w:rsidR="002F7181" w:rsidRPr="00BA5722" w:rsidSect="00433A33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81" w:rsidRDefault="002F7181" w:rsidP="00BA5722">
      <w:r>
        <w:separator/>
      </w:r>
    </w:p>
  </w:endnote>
  <w:endnote w:type="continuationSeparator" w:id="0">
    <w:p w:rsidR="002F7181" w:rsidRDefault="002F7181" w:rsidP="00BA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181" w:rsidRDefault="002F7181">
    <w:pPr>
      <w:pStyle w:val="Footer"/>
      <w:jc w:val="center"/>
    </w:pPr>
    <w:fldSimple w:instr=" PAGE   \* MERGEFORMAT ">
      <w:r>
        <w:t>1</w:t>
      </w:r>
    </w:fldSimple>
  </w:p>
  <w:p w:rsidR="002F7181" w:rsidRDefault="002F7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81" w:rsidRDefault="002F7181" w:rsidP="00BA5722">
      <w:r>
        <w:separator/>
      </w:r>
    </w:p>
  </w:footnote>
  <w:footnote w:type="continuationSeparator" w:id="0">
    <w:p w:rsidR="002F7181" w:rsidRDefault="002F7181" w:rsidP="00BA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0BA2"/>
    <w:multiLevelType w:val="hybridMultilevel"/>
    <w:tmpl w:val="683C508E"/>
    <w:lvl w:ilvl="0" w:tplc="E4AE9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D61D14"/>
    <w:multiLevelType w:val="multilevel"/>
    <w:tmpl w:val="6F4292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B96593E"/>
    <w:multiLevelType w:val="hybridMultilevel"/>
    <w:tmpl w:val="1DE4F866"/>
    <w:lvl w:ilvl="0" w:tplc="67D84E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B3949E1"/>
    <w:multiLevelType w:val="hybridMultilevel"/>
    <w:tmpl w:val="47F87250"/>
    <w:lvl w:ilvl="0" w:tplc="79EC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2D3AEF"/>
    <w:multiLevelType w:val="multilevel"/>
    <w:tmpl w:val="25EA0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B9D03BD"/>
    <w:multiLevelType w:val="hybridMultilevel"/>
    <w:tmpl w:val="3912CD40"/>
    <w:lvl w:ilvl="0" w:tplc="9D8EF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891D2B"/>
    <w:multiLevelType w:val="multilevel"/>
    <w:tmpl w:val="B7CA4E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1693EF7"/>
    <w:multiLevelType w:val="hybridMultilevel"/>
    <w:tmpl w:val="E4A89DCA"/>
    <w:lvl w:ilvl="0" w:tplc="C6E83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B6D7D90"/>
    <w:multiLevelType w:val="hybridMultilevel"/>
    <w:tmpl w:val="3D343E2A"/>
    <w:lvl w:ilvl="0" w:tplc="8CDE9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723A46"/>
    <w:multiLevelType w:val="hybridMultilevel"/>
    <w:tmpl w:val="09E6FF36"/>
    <w:lvl w:ilvl="0" w:tplc="8D1AB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587B71"/>
    <w:multiLevelType w:val="hybridMultilevel"/>
    <w:tmpl w:val="D0EEDE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722"/>
    <w:rsid w:val="00001AC1"/>
    <w:rsid w:val="000244D9"/>
    <w:rsid w:val="000B2E7D"/>
    <w:rsid w:val="000C1507"/>
    <w:rsid w:val="001427CD"/>
    <w:rsid w:val="00151E27"/>
    <w:rsid w:val="0017255D"/>
    <w:rsid w:val="00197AC6"/>
    <w:rsid w:val="001E0DB5"/>
    <w:rsid w:val="00210C56"/>
    <w:rsid w:val="002633C3"/>
    <w:rsid w:val="002F7181"/>
    <w:rsid w:val="00331273"/>
    <w:rsid w:val="00360191"/>
    <w:rsid w:val="003B39FF"/>
    <w:rsid w:val="003B460E"/>
    <w:rsid w:val="004117F2"/>
    <w:rsid w:val="00421C4F"/>
    <w:rsid w:val="00433A33"/>
    <w:rsid w:val="00447087"/>
    <w:rsid w:val="004544F4"/>
    <w:rsid w:val="00461227"/>
    <w:rsid w:val="004B5FBE"/>
    <w:rsid w:val="004C4DA5"/>
    <w:rsid w:val="00520221"/>
    <w:rsid w:val="00520640"/>
    <w:rsid w:val="00574145"/>
    <w:rsid w:val="005C1AB6"/>
    <w:rsid w:val="006046B8"/>
    <w:rsid w:val="00647688"/>
    <w:rsid w:val="006518A3"/>
    <w:rsid w:val="00673E72"/>
    <w:rsid w:val="006F5A02"/>
    <w:rsid w:val="00725153"/>
    <w:rsid w:val="00737935"/>
    <w:rsid w:val="007757DC"/>
    <w:rsid w:val="007910E1"/>
    <w:rsid w:val="007949D5"/>
    <w:rsid w:val="007D7EB1"/>
    <w:rsid w:val="008204CE"/>
    <w:rsid w:val="0085035B"/>
    <w:rsid w:val="008618B0"/>
    <w:rsid w:val="008622A7"/>
    <w:rsid w:val="008642E9"/>
    <w:rsid w:val="008661CA"/>
    <w:rsid w:val="008B4BB5"/>
    <w:rsid w:val="008C0F5F"/>
    <w:rsid w:val="00946777"/>
    <w:rsid w:val="0095300B"/>
    <w:rsid w:val="009834FF"/>
    <w:rsid w:val="009876F4"/>
    <w:rsid w:val="009E2359"/>
    <w:rsid w:val="009E7BDA"/>
    <w:rsid w:val="00A11E78"/>
    <w:rsid w:val="00A1521E"/>
    <w:rsid w:val="00A47F82"/>
    <w:rsid w:val="00A734C9"/>
    <w:rsid w:val="00A8464E"/>
    <w:rsid w:val="00AB2D64"/>
    <w:rsid w:val="00AC4E09"/>
    <w:rsid w:val="00B76F90"/>
    <w:rsid w:val="00B805D3"/>
    <w:rsid w:val="00B9145D"/>
    <w:rsid w:val="00B975CA"/>
    <w:rsid w:val="00BA5722"/>
    <w:rsid w:val="00C06718"/>
    <w:rsid w:val="00C468B5"/>
    <w:rsid w:val="00C70B1D"/>
    <w:rsid w:val="00C97260"/>
    <w:rsid w:val="00CC0F61"/>
    <w:rsid w:val="00D22F47"/>
    <w:rsid w:val="00D8307C"/>
    <w:rsid w:val="00DD2A03"/>
    <w:rsid w:val="00DD5087"/>
    <w:rsid w:val="00E5512B"/>
    <w:rsid w:val="00E5569A"/>
    <w:rsid w:val="00E73CAC"/>
    <w:rsid w:val="00E94C65"/>
    <w:rsid w:val="00E96167"/>
    <w:rsid w:val="00EF220B"/>
    <w:rsid w:val="00EF7975"/>
    <w:rsid w:val="00F1187A"/>
    <w:rsid w:val="00F40ED9"/>
    <w:rsid w:val="00F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22"/>
    <w:rPr>
      <w:rFonts w:ascii="Times New Roman" w:eastAsia="Times New Roman" w:hAnsi="Times New Roman"/>
      <w:noProof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1">
    <w:name w:val="Normál1"/>
    <w:uiPriority w:val="99"/>
    <w:rsid w:val="00BA5722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Cmsor41">
    <w:name w:val="Címsor 41"/>
    <w:basedOn w:val="Norml1"/>
    <w:next w:val="Norml1"/>
    <w:uiPriority w:val="99"/>
    <w:rsid w:val="00BA5722"/>
    <w:rPr>
      <w:b/>
      <w:sz w:val="28"/>
    </w:rPr>
  </w:style>
  <w:style w:type="paragraph" w:styleId="Header">
    <w:name w:val="header"/>
    <w:basedOn w:val="Normal"/>
    <w:link w:val="HeaderChar"/>
    <w:uiPriority w:val="99"/>
    <w:rsid w:val="00BA57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722"/>
    <w:rPr>
      <w:rFonts w:ascii="Times New Roman" w:hAnsi="Times New Roman" w:cs="Times New Roman"/>
      <w:noProof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rsid w:val="00BA57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5722"/>
    <w:rPr>
      <w:rFonts w:ascii="Times New Roman" w:hAnsi="Times New Roman" w:cs="Times New Roman"/>
      <w:noProof/>
      <w:sz w:val="20"/>
      <w:szCs w:val="20"/>
      <w:lang w:eastAsia="hu-HU"/>
    </w:rPr>
  </w:style>
  <w:style w:type="paragraph" w:customStyle="1" w:styleId="Cmsor21">
    <w:name w:val="Címsor 21"/>
    <w:basedOn w:val="Norml1"/>
    <w:next w:val="Norml1"/>
    <w:uiPriority w:val="99"/>
    <w:rsid w:val="00BA5722"/>
  </w:style>
  <w:style w:type="paragraph" w:customStyle="1" w:styleId="Cmsor31">
    <w:name w:val="Címsor 31"/>
    <w:basedOn w:val="Norml1"/>
    <w:next w:val="Norml1"/>
    <w:uiPriority w:val="99"/>
    <w:rsid w:val="00BA5722"/>
    <w:rPr>
      <w:sz w:val="28"/>
    </w:rPr>
  </w:style>
  <w:style w:type="paragraph" w:styleId="BodyText">
    <w:name w:val="Body Text"/>
    <w:basedOn w:val="Norml1"/>
    <w:link w:val="BodyTextChar"/>
    <w:uiPriority w:val="99"/>
    <w:rsid w:val="00BA572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5722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western">
    <w:name w:val="western"/>
    <w:basedOn w:val="Normal"/>
    <w:uiPriority w:val="99"/>
    <w:rsid w:val="00BA5722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rmalWeb">
    <w:name w:val="Normal (Web)"/>
    <w:basedOn w:val="Normal"/>
    <w:uiPriority w:val="99"/>
    <w:rsid w:val="00BA5722"/>
    <w:pP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Cmsor11">
    <w:name w:val="Címsor 11"/>
    <w:basedOn w:val="Norml1"/>
    <w:next w:val="Norml1"/>
    <w:uiPriority w:val="99"/>
    <w:rsid w:val="00BA5722"/>
    <w:rPr>
      <w:u w:val="single"/>
    </w:rPr>
  </w:style>
  <w:style w:type="paragraph" w:customStyle="1" w:styleId="Cmsor51">
    <w:name w:val="Címsor 51"/>
    <w:basedOn w:val="Norml1"/>
    <w:next w:val="Norml1"/>
    <w:uiPriority w:val="99"/>
    <w:rsid w:val="00BA5722"/>
    <w:rPr>
      <w:b/>
      <w:sz w:val="28"/>
      <w:u w:val="single"/>
    </w:rPr>
  </w:style>
  <w:style w:type="paragraph" w:customStyle="1" w:styleId="xl25">
    <w:name w:val="xl25"/>
    <w:basedOn w:val="Norml1"/>
    <w:uiPriority w:val="99"/>
    <w:rsid w:val="00BA5722"/>
    <w:pPr>
      <w:spacing w:before="100" w:after="100"/>
    </w:pPr>
    <w:rPr>
      <w:rFonts w:ascii="Arial" w:hAnsi="Arial"/>
      <w:b/>
    </w:rPr>
  </w:style>
  <w:style w:type="paragraph" w:styleId="Title">
    <w:name w:val="Title"/>
    <w:basedOn w:val="Normal"/>
    <w:next w:val="Normal"/>
    <w:link w:val="TitleChar"/>
    <w:uiPriority w:val="99"/>
    <w:qFormat/>
    <w:rsid w:val="00BA57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A5722"/>
    <w:rPr>
      <w:rFonts w:ascii="Cambria" w:hAnsi="Cambria" w:cs="Times New Roman"/>
      <w:b/>
      <w:bCs/>
      <w:noProof/>
      <w:kern w:val="28"/>
      <w:sz w:val="32"/>
      <w:szCs w:val="32"/>
      <w:lang w:eastAsia="hu-HU"/>
    </w:rPr>
  </w:style>
  <w:style w:type="table" w:styleId="TableGrid">
    <w:name w:val="Table Grid"/>
    <w:basedOn w:val="TableNormal"/>
    <w:uiPriority w:val="99"/>
    <w:rsid w:val="00BA57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">
    <w:name w:val="Szöveg"/>
    <w:basedOn w:val="Normal"/>
    <w:uiPriority w:val="99"/>
    <w:rsid w:val="00BA5722"/>
    <w:pPr>
      <w:widowControl w:val="0"/>
    </w:pPr>
    <w:rPr>
      <w:noProof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2662</Words>
  <Characters>18375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KIEGÉSZITŐ MELLÉKLET</dc:title>
  <dc:subject/>
  <dc:creator>User3</dc:creator>
  <cp:keywords/>
  <dc:description/>
  <cp:lastModifiedBy>Szabó Viktória dr.</cp:lastModifiedBy>
  <cp:revision>2</cp:revision>
  <dcterms:created xsi:type="dcterms:W3CDTF">2013-09-13T10:05:00Z</dcterms:created>
  <dcterms:modified xsi:type="dcterms:W3CDTF">2013-09-13T10:05:00Z</dcterms:modified>
</cp:coreProperties>
</file>