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46" w:rsidRDefault="003F2346" w:rsidP="00CE7737">
      <w:pPr>
        <w:jc w:val="center"/>
        <w:rPr>
          <w:b/>
        </w:rPr>
      </w:pPr>
      <w:r w:rsidRPr="00FA6EBE">
        <w:rPr>
          <w:b/>
        </w:rPr>
        <w:t>EGYÜTTMŰKÖDÉSI MEGÁLLAPODÁS</w:t>
      </w:r>
    </w:p>
    <w:p w:rsidR="003F2346" w:rsidRDefault="003F2346" w:rsidP="00CE7737">
      <w:pPr>
        <w:jc w:val="center"/>
        <w:rPr>
          <w:b/>
        </w:rPr>
      </w:pPr>
    </w:p>
    <w:p w:rsidR="003F2346" w:rsidRDefault="003F2346" w:rsidP="00CE7737">
      <w:pPr>
        <w:jc w:val="both"/>
        <w:rPr>
          <w:b/>
        </w:rPr>
      </w:pPr>
    </w:p>
    <w:p w:rsidR="003F2346" w:rsidRPr="00FA6EBE" w:rsidRDefault="003F2346" w:rsidP="00DC4B29">
      <w:pPr>
        <w:jc w:val="both"/>
      </w:pPr>
      <w:r>
        <w:t>a</w:t>
      </w:r>
      <w:r w:rsidRPr="00FA6EBE">
        <w:t>mely létrejött egyrészről:</w:t>
      </w:r>
    </w:p>
    <w:p w:rsidR="003F2346" w:rsidRDefault="003F2346" w:rsidP="00DC4B29">
      <w:pPr>
        <w:jc w:val="both"/>
        <w:rPr>
          <w:b/>
        </w:rPr>
      </w:pPr>
    </w:p>
    <w:p w:rsidR="003F2346" w:rsidRDefault="003F2346" w:rsidP="00DC4B29">
      <w:pPr>
        <w:jc w:val="both"/>
      </w:pPr>
      <w:r w:rsidRPr="00A635A4">
        <w:rPr>
          <w:b/>
        </w:rPr>
        <w:t>Szombathely Megyei Jogú Város Önkormányzata</w:t>
      </w:r>
      <w:r>
        <w:t>(9700 Szombathely, Kossuth Lajos u. 1-3.) képviseletében eljár: Dr. Puskás Tivadar polgármester (a továbbiakban: Önkormányzat),</w:t>
      </w:r>
    </w:p>
    <w:p w:rsidR="003F2346" w:rsidRDefault="003F2346" w:rsidP="00DC4B29">
      <w:pPr>
        <w:jc w:val="both"/>
      </w:pPr>
    </w:p>
    <w:p w:rsidR="003F2346" w:rsidRDefault="003F2346" w:rsidP="00DC4B29">
      <w:pPr>
        <w:jc w:val="both"/>
      </w:pPr>
      <w:r>
        <w:t>másrészről:</w:t>
      </w:r>
    </w:p>
    <w:p w:rsidR="003F2346" w:rsidRDefault="003F2346" w:rsidP="00DC4B29">
      <w:pPr>
        <w:jc w:val="both"/>
      </w:pPr>
    </w:p>
    <w:p w:rsidR="003F2346" w:rsidRDefault="003F2346" w:rsidP="00DC4B29">
      <w:pPr>
        <w:jc w:val="both"/>
      </w:pPr>
      <w:r>
        <w:rPr>
          <w:b/>
        </w:rPr>
        <w:t xml:space="preserve">Eötvös Loránd Tudományegyetem </w:t>
      </w:r>
      <w:r w:rsidRPr="00F551CA">
        <w:t>(</w:t>
      </w:r>
      <w:r>
        <w:t>1053 Budap</w:t>
      </w:r>
      <w:r w:rsidRPr="00F551CA">
        <w:t>est</w:t>
      </w:r>
      <w:r>
        <w:t>, Egyetem tér 1-3.) képviseletében eljár: Dr. Mezey Barna rektor megbízásából Dr. Szabó M. Gyula igazgató ELTE Gothard Asztrofizikai Obszervatórium és Multidiszciplináris Kutatóközpont (a továbbiakban: ELTE),</w:t>
      </w:r>
    </w:p>
    <w:p w:rsidR="003F2346" w:rsidRDefault="003F2346" w:rsidP="00DC4B29">
      <w:pPr>
        <w:jc w:val="both"/>
        <w:rPr>
          <w:rFonts w:cs="Arial"/>
        </w:rPr>
      </w:pPr>
    </w:p>
    <w:p w:rsidR="003F2346" w:rsidRDefault="003F2346" w:rsidP="00DC4B29">
      <w:pPr>
        <w:jc w:val="both"/>
        <w:rPr>
          <w:rFonts w:cs="Arial"/>
        </w:rPr>
      </w:pPr>
      <w:r>
        <w:rPr>
          <w:rFonts w:cs="Arial"/>
        </w:rPr>
        <w:t xml:space="preserve">együttesen: Szerződő felek </w:t>
      </w:r>
    </w:p>
    <w:p w:rsidR="003F2346" w:rsidRDefault="003F2346" w:rsidP="00DC4B29">
      <w:pPr>
        <w:jc w:val="both"/>
        <w:rPr>
          <w:rFonts w:cs="Arial"/>
        </w:rPr>
      </w:pPr>
    </w:p>
    <w:p w:rsidR="003F2346" w:rsidRDefault="003F2346" w:rsidP="00DC4B29">
      <w:pPr>
        <w:jc w:val="both"/>
        <w:rPr>
          <w:rFonts w:cs="Arial"/>
        </w:rPr>
      </w:pPr>
      <w:r>
        <w:rPr>
          <w:rFonts w:cs="Arial"/>
        </w:rPr>
        <w:t>között, az alulírott helyen és napon az alábbi feltételekkel.</w:t>
      </w:r>
    </w:p>
    <w:p w:rsidR="003F2346" w:rsidRDefault="003F2346" w:rsidP="00DC4B29">
      <w:pPr>
        <w:jc w:val="both"/>
      </w:pPr>
    </w:p>
    <w:p w:rsidR="003F2346" w:rsidRDefault="003F2346" w:rsidP="00F551CA">
      <w:pPr>
        <w:jc w:val="both"/>
        <w:rPr>
          <w:rFonts w:cs="Arial"/>
        </w:rPr>
      </w:pPr>
    </w:p>
    <w:p w:rsidR="003F2346" w:rsidRPr="0012628B" w:rsidRDefault="003F2346" w:rsidP="00F551CA">
      <w:pPr>
        <w:jc w:val="center"/>
        <w:rPr>
          <w:rFonts w:cs="Arial"/>
          <w:b/>
        </w:rPr>
      </w:pPr>
      <w:r w:rsidRPr="0012628B">
        <w:rPr>
          <w:rFonts w:cs="Arial"/>
          <w:b/>
        </w:rPr>
        <w:t xml:space="preserve">1. </w:t>
      </w:r>
    </w:p>
    <w:p w:rsidR="003F2346" w:rsidRDefault="003F2346" w:rsidP="00F551CA">
      <w:pPr>
        <w:jc w:val="center"/>
        <w:rPr>
          <w:rFonts w:cs="Arial"/>
          <w:b/>
        </w:rPr>
      </w:pPr>
    </w:p>
    <w:p w:rsidR="003F2346" w:rsidRDefault="003F2346" w:rsidP="00F551CA">
      <w:pPr>
        <w:jc w:val="center"/>
        <w:rPr>
          <w:rFonts w:cs="Arial"/>
          <w:b/>
        </w:rPr>
      </w:pPr>
      <w:r>
        <w:rPr>
          <w:rFonts w:cs="Arial"/>
          <w:b/>
        </w:rPr>
        <w:t>Előzmények</w:t>
      </w:r>
    </w:p>
    <w:p w:rsidR="003F2346" w:rsidRDefault="003F2346"/>
    <w:p w:rsidR="003F2346" w:rsidRPr="00A126AD" w:rsidRDefault="003F2346" w:rsidP="00CC3AE5">
      <w:pPr>
        <w:numPr>
          <w:ilvl w:val="1"/>
          <w:numId w:val="1"/>
        </w:numPr>
        <w:tabs>
          <w:tab w:val="clear" w:pos="792"/>
          <w:tab w:val="num" w:pos="540"/>
        </w:tabs>
        <w:ind w:left="540" w:hanging="540"/>
        <w:jc w:val="both"/>
      </w:pPr>
      <w:r w:rsidRPr="00562EE4">
        <w:t xml:space="preserve">Szerződő felek </w:t>
      </w:r>
      <w:r>
        <w:t>megállapítják</w:t>
      </w:r>
      <w:r w:rsidRPr="00562EE4">
        <w:t xml:space="preserve">, hogy </w:t>
      </w:r>
      <w:r w:rsidRPr="00562EE4">
        <w:rPr>
          <w:bCs/>
          <w:iCs/>
        </w:rPr>
        <w:t xml:space="preserve">a PM. 54.379/1978. X. sz., a KM </w:t>
      </w:r>
      <w:r w:rsidRPr="00A126AD">
        <w:rPr>
          <w:bCs/>
          <w:iCs/>
        </w:rPr>
        <w:t>30011-78 és az OM 48.200/1978. sz. engedélyezési okiratai alapjánaz ELTE 1978. július 1-jei fordulónap hatályával átvette a Vas Megyei Múzeumok Igazgatósága szervezetébe tartozó Gothard Asztrofizikai Obszervatóriumot.</w:t>
      </w:r>
    </w:p>
    <w:p w:rsidR="003F2346" w:rsidRPr="00562EE4" w:rsidRDefault="003F2346" w:rsidP="002721DA">
      <w:pPr>
        <w:ind w:left="900" w:hanging="540"/>
        <w:jc w:val="both"/>
      </w:pPr>
    </w:p>
    <w:p w:rsidR="003F2346" w:rsidRDefault="003F2346" w:rsidP="00CC3AE5">
      <w:pPr>
        <w:numPr>
          <w:ilvl w:val="1"/>
          <w:numId w:val="1"/>
        </w:numPr>
        <w:tabs>
          <w:tab w:val="clear" w:pos="792"/>
          <w:tab w:val="num" w:pos="540"/>
        </w:tabs>
        <w:ind w:left="540" w:hanging="540"/>
        <w:jc w:val="both"/>
        <w:rPr>
          <w:bCs/>
          <w:iCs/>
        </w:rPr>
      </w:pPr>
      <w:r w:rsidRPr="008703D0">
        <w:t>A Szerződő f</w:t>
      </w:r>
      <w:r>
        <w:t xml:space="preserve">elek egyetértésüket fejezik ki, hogy az ELTE szenátusának </w:t>
      </w:r>
      <w:r w:rsidRPr="00BD13AC">
        <w:t>2012. június 1-i határozatával Multidiszciplináris Kutatóközpont rangjára emelt Gothard Asztrofizikai</w:t>
      </w:r>
      <w:r>
        <w:t xml:space="preserve"> Obszervatórium (a továbbiakban: ELTE GAO MKK) </w:t>
      </w:r>
      <w:r w:rsidRPr="008703D0">
        <w:rPr>
          <w:bCs/>
          <w:iCs/>
        </w:rPr>
        <w:t>az új működési formában mintaszerű hatékonysággal illeszkedett be az EU keretén belül működő kutatási-oktatási-közművelődési intézmény</w:t>
      </w:r>
      <w:r>
        <w:rPr>
          <w:bCs/>
          <w:iCs/>
        </w:rPr>
        <w:t>-</w:t>
      </w:r>
      <w:r w:rsidRPr="008703D0">
        <w:rPr>
          <w:bCs/>
          <w:iCs/>
        </w:rPr>
        <w:t xml:space="preserve">rendszerbe, és úttörő szerepet játszik a nyugat-dunántúli régió közművelődési szervezeteinek, az ELTE tudásbázisának és </w:t>
      </w:r>
      <w:r>
        <w:rPr>
          <w:bCs/>
          <w:iCs/>
        </w:rPr>
        <w:t>a Magyar Tudományos Akadémia</w:t>
      </w:r>
      <w:r w:rsidRPr="008703D0">
        <w:rPr>
          <w:bCs/>
          <w:iCs/>
        </w:rPr>
        <w:t xml:space="preserve"> kutatóintézeti hátterének együttműködésében. </w:t>
      </w:r>
      <w:r w:rsidRPr="00562EE4">
        <w:rPr>
          <w:bCs/>
          <w:iCs/>
        </w:rPr>
        <w:t xml:space="preserve">Infrastruktúrája és humánerőforrása révén az intézmény </w:t>
      </w:r>
      <w:r>
        <w:rPr>
          <w:bCs/>
          <w:iCs/>
        </w:rPr>
        <w:t>Nyugat-M</w:t>
      </w:r>
      <w:r w:rsidRPr="00562EE4">
        <w:rPr>
          <w:bCs/>
          <w:iCs/>
        </w:rPr>
        <w:t>agyarország mértékadó, nemzetközi hírnévnek örvendő kutatóintézetévé vált.</w:t>
      </w:r>
      <w:r>
        <w:rPr>
          <w:bCs/>
          <w:iCs/>
        </w:rPr>
        <w:t xml:space="preserve"> </w:t>
      </w:r>
      <w:r w:rsidRPr="008703D0">
        <w:rPr>
          <w:bCs/>
          <w:iCs/>
        </w:rPr>
        <w:t>Az Obszervatórium sikeresen valósítja meg azt a kutatóegyetemi törekvést, hogy az ELTE mint egyetemi tudásbázis a nyugat-magyarországi térségben is magas szinten képviselje a természettudományos oktatás és kutatás ügyét.</w:t>
      </w:r>
    </w:p>
    <w:p w:rsidR="003F2346" w:rsidRDefault="003F2346" w:rsidP="002721DA">
      <w:pPr>
        <w:ind w:left="900" w:hanging="540"/>
        <w:jc w:val="both"/>
        <w:rPr>
          <w:bCs/>
          <w:iCs/>
        </w:rPr>
      </w:pPr>
    </w:p>
    <w:p w:rsidR="003F2346" w:rsidRDefault="003F2346" w:rsidP="00CC3AE5">
      <w:pPr>
        <w:numPr>
          <w:ilvl w:val="1"/>
          <w:numId w:val="1"/>
        </w:numPr>
        <w:tabs>
          <w:tab w:val="clear" w:pos="792"/>
          <w:tab w:val="num" w:pos="540"/>
        </w:tabs>
        <w:ind w:left="540" w:hanging="540"/>
        <w:jc w:val="both"/>
        <w:rPr>
          <w:bCs/>
          <w:iCs/>
        </w:rPr>
      </w:pPr>
      <w:r>
        <w:rPr>
          <w:bCs/>
          <w:iCs/>
        </w:rPr>
        <w:t>A Szerződő felek megállapítják, hogy az ELTE GAO MKK-ban oktatják az ELTE természettudományos alap- és mesterképzésének kurzusait, minősített kutatói az ELTE TTK Fizika Doktori Iskola akkreditált témavezetőiként szombathelyi lokációval doktori képzést folytatnak.</w:t>
      </w:r>
    </w:p>
    <w:p w:rsidR="003F2346" w:rsidRDefault="003F2346" w:rsidP="00381613">
      <w:pPr>
        <w:pStyle w:val="ListParagraph"/>
        <w:rPr>
          <w:bCs/>
          <w:iCs/>
        </w:rPr>
      </w:pPr>
    </w:p>
    <w:p w:rsidR="003F2346" w:rsidRDefault="003F2346" w:rsidP="00381613">
      <w:pPr>
        <w:ind w:left="792"/>
        <w:jc w:val="both"/>
        <w:rPr>
          <w:bCs/>
          <w:iCs/>
        </w:rPr>
      </w:pPr>
    </w:p>
    <w:p w:rsidR="003F2346" w:rsidRDefault="003F2346" w:rsidP="00CC3AE5">
      <w:pPr>
        <w:pStyle w:val="ListParagraph"/>
        <w:numPr>
          <w:ilvl w:val="1"/>
          <w:numId w:val="1"/>
        </w:numPr>
        <w:tabs>
          <w:tab w:val="clear" w:pos="792"/>
          <w:tab w:val="num" w:pos="540"/>
        </w:tabs>
        <w:ind w:left="540" w:hanging="540"/>
        <w:jc w:val="both"/>
        <w:rPr>
          <w:bCs/>
          <w:iCs/>
        </w:rPr>
      </w:pPr>
      <w:r w:rsidRPr="001A65E6">
        <w:rPr>
          <w:bCs/>
          <w:iCs/>
        </w:rPr>
        <w:t>A Szerződő felek egyetértenek abban, hogy a régiónak létszüksége a felsőoktatási és tudományos szempontok szerinti intenzív fejlesztés. A világviszonylatban is párját ritkító tudományos örökségben gyökerező obszervatóriumot az ELTE 21. századi követelményeknek megfelelő tudományos kutató-oktató intézménnyé fejlesztette. Az ELTE GAO MKK a természettudományok területén szükséges széles-spektrumú oktatás-nevelés és kutatás katalizátora, kristályosodási magja.</w:t>
      </w:r>
      <w:r>
        <w:rPr>
          <w:bCs/>
          <w:iCs/>
        </w:rPr>
        <w:t xml:space="preserve"> A </w:t>
      </w:r>
      <w:r w:rsidRPr="001A65E6">
        <w:rPr>
          <w:bCs/>
          <w:iCs/>
        </w:rPr>
        <w:t xml:space="preserve">természettudományi szakok zömén </w:t>
      </w:r>
      <w:r>
        <w:rPr>
          <w:bCs/>
          <w:iCs/>
        </w:rPr>
        <w:t xml:space="preserve">kevés a </w:t>
      </w:r>
      <w:r w:rsidRPr="001A65E6">
        <w:rPr>
          <w:bCs/>
          <w:iCs/>
        </w:rPr>
        <w:t xml:space="preserve">hallgató, </w:t>
      </w:r>
      <w:r>
        <w:rPr>
          <w:bCs/>
          <w:iCs/>
        </w:rPr>
        <w:t xml:space="preserve">ugyanakkor a </w:t>
      </w:r>
      <w:r w:rsidRPr="001A65E6">
        <w:rPr>
          <w:bCs/>
          <w:iCs/>
        </w:rPr>
        <w:t>természettudományi területeken krónikus mun</w:t>
      </w:r>
      <w:r>
        <w:rPr>
          <w:bCs/>
          <w:iCs/>
        </w:rPr>
        <w:t>kaerőhiány lépett fel. Jogos a követelés</w:t>
      </w:r>
      <w:r w:rsidRPr="001A65E6">
        <w:rPr>
          <w:bCs/>
          <w:iCs/>
        </w:rPr>
        <w:t xml:space="preserve">, hogy az egyetemek, főiskolák </w:t>
      </w:r>
      <w:r>
        <w:rPr>
          <w:bCs/>
          <w:iCs/>
        </w:rPr>
        <w:t>a tudásalapú gazdaságban/gazdasági alkalmazásokban</w:t>
      </w:r>
      <w:r w:rsidRPr="001A65E6">
        <w:rPr>
          <w:bCs/>
          <w:iCs/>
        </w:rPr>
        <w:t xml:space="preserve"> felhasználható tudást adjanak a hallgatóknak.</w:t>
      </w:r>
    </w:p>
    <w:p w:rsidR="003F2346" w:rsidRDefault="003F2346" w:rsidP="00641C6B">
      <w:pPr>
        <w:pStyle w:val="ListParagraph"/>
        <w:ind w:left="900" w:hanging="540"/>
        <w:jc w:val="both"/>
        <w:rPr>
          <w:bCs/>
          <w:iCs/>
        </w:rPr>
      </w:pPr>
    </w:p>
    <w:p w:rsidR="003F2346" w:rsidRDefault="003F2346" w:rsidP="00CC3AE5">
      <w:pPr>
        <w:numPr>
          <w:ilvl w:val="1"/>
          <w:numId w:val="1"/>
        </w:numPr>
        <w:tabs>
          <w:tab w:val="clear" w:pos="792"/>
          <w:tab w:val="num" w:pos="540"/>
        </w:tabs>
        <w:ind w:left="540" w:hanging="540"/>
        <w:jc w:val="both"/>
        <w:rPr>
          <w:bCs/>
          <w:iCs/>
        </w:rPr>
      </w:pPr>
      <w:r>
        <w:rPr>
          <w:bCs/>
          <w:iCs/>
        </w:rPr>
        <w:t>A Szerződő felek kinyilvánítják, hogy az ELTE GAO MKK Szombathely Megyei Jogú Város tudományos életének mértékadó szereplője, a szombathelyi természettudományos oktatói-kutatói utánpótlás képzőhelye. A</w:t>
      </w:r>
      <w:r w:rsidRPr="001A65E6">
        <w:rPr>
          <w:bCs/>
          <w:iCs/>
        </w:rPr>
        <w:t xml:space="preserve">z Önkormányzat </w:t>
      </w:r>
      <w:r>
        <w:rPr>
          <w:bCs/>
          <w:iCs/>
        </w:rPr>
        <w:t xml:space="preserve">ezért </w:t>
      </w:r>
      <w:r w:rsidRPr="001A65E6">
        <w:rPr>
          <w:bCs/>
          <w:iCs/>
        </w:rPr>
        <w:t xml:space="preserve">kiemelten fontosnak tartja, hogy egyetemi városként hozzájáruljon az </w:t>
      </w:r>
      <w:r>
        <w:rPr>
          <w:bCs/>
          <w:iCs/>
        </w:rPr>
        <w:t>ELTE GAO MKK-n</w:t>
      </w:r>
      <w:r w:rsidRPr="001A65E6">
        <w:rPr>
          <w:bCs/>
          <w:iCs/>
        </w:rPr>
        <w:t xml:space="preserve"> folyó képzések magas színvonalának megőrzéséhez, </w:t>
      </w:r>
      <w:r>
        <w:rPr>
          <w:bCs/>
          <w:iCs/>
        </w:rPr>
        <w:t xml:space="preserve">hogy </w:t>
      </w:r>
      <w:r w:rsidRPr="00DF49C6">
        <w:rPr>
          <w:bCs/>
          <w:iCs/>
        </w:rPr>
        <w:t>támogassa és előmozdítsa a Szombathely város gazdasági érdekeivel és céljaival összhangban lévő széles spektrumú természettudományi PhD képzés megvalósítását.</w:t>
      </w:r>
      <w:r w:rsidRPr="001A65E6">
        <w:rPr>
          <w:bCs/>
          <w:iCs/>
        </w:rPr>
        <w:t xml:space="preserve"> </w:t>
      </w:r>
      <w:r>
        <w:rPr>
          <w:bCs/>
          <w:iCs/>
        </w:rPr>
        <w:t>A</w:t>
      </w:r>
      <w:r w:rsidRPr="001A65E6">
        <w:rPr>
          <w:bCs/>
          <w:iCs/>
        </w:rPr>
        <w:t xml:space="preserve"> szerződő felek jelen megállapodással deklarált </w:t>
      </w:r>
      <w:r>
        <w:rPr>
          <w:bCs/>
          <w:iCs/>
        </w:rPr>
        <w:t xml:space="preserve">stratégiai </w:t>
      </w:r>
      <w:r w:rsidRPr="001A65E6">
        <w:rPr>
          <w:bCs/>
          <w:iCs/>
        </w:rPr>
        <w:t>célja és érdeke, hogy feladataik hat</w:t>
      </w:r>
      <w:r>
        <w:rPr>
          <w:bCs/>
          <w:iCs/>
        </w:rPr>
        <w:t xml:space="preserve">ékonyabb ellátása érdekében az immár évszázados múlttal bíró </w:t>
      </w:r>
      <w:r w:rsidRPr="001A65E6">
        <w:rPr>
          <w:bCs/>
          <w:iCs/>
        </w:rPr>
        <w:t xml:space="preserve">kapcsolatukat megerősítsék, és az </w:t>
      </w:r>
      <w:r>
        <w:rPr>
          <w:bCs/>
          <w:iCs/>
        </w:rPr>
        <w:t>ELTE hatékonyan</w:t>
      </w:r>
      <w:r w:rsidRPr="001A65E6">
        <w:rPr>
          <w:bCs/>
          <w:iCs/>
        </w:rPr>
        <w:t xml:space="preserve"> járuljon hozzá Szombathely és térsége gazdasági fejlődéséhez.</w:t>
      </w:r>
    </w:p>
    <w:p w:rsidR="003F2346" w:rsidRDefault="003F2346" w:rsidP="007727F4">
      <w:pPr>
        <w:ind w:left="360"/>
        <w:jc w:val="both"/>
        <w:rPr>
          <w:bCs/>
          <w:iCs/>
        </w:rPr>
      </w:pPr>
    </w:p>
    <w:p w:rsidR="003F2346" w:rsidRDefault="003F2346" w:rsidP="00BA7B35">
      <w:pPr>
        <w:jc w:val="both"/>
        <w:rPr>
          <w:bCs/>
          <w:iCs/>
        </w:rPr>
      </w:pPr>
    </w:p>
    <w:p w:rsidR="003F2346" w:rsidRPr="007727F4" w:rsidRDefault="003F2346" w:rsidP="00BA7B35">
      <w:pPr>
        <w:jc w:val="both"/>
        <w:rPr>
          <w:bCs/>
          <w:iCs/>
        </w:rPr>
      </w:pPr>
      <w:r>
        <w:rPr>
          <w:bCs/>
          <w:iCs/>
        </w:rPr>
        <w:t xml:space="preserve">Szerződő felek az alábbiakban </w:t>
      </w:r>
      <w:r w:rsidRPr="007727F4">
        <w:rPr>
          <w:bCs/>
          <w:iCs/>
        </w:rPr>
        <w:t>megfogalmazott közös célok megvalósítása szolgálatában, a kölcsönös érdekeken alapuló partnerség elvei mentén, az alábbi területeken működnek együtt.</w:t>
      </w:r>
    </w:p>
    <w:p w:rsidR="003F2346" w:rsidRDefault="003F2346" w:rsidP="00453D1D">
      <w:pPr>
        <w:rPr>
          <w:bCs/>
          <w:iCs/>
        </w:rPr>
      </w:pPr>
    </w:p>
    <w:p w:rsidR="003F2346" w:rsidRDefault="003F2346" w:rsidP="00453D1D">
      <w:pPr>
        <w:rPr>
          <w:bCs/>
          <w:iCs/>
        </w:rPr>
      </w:pPr>
    </w:p>
    <w:p w:rsidR="003F2346" w:rsidRPr="00641C6B" w:rsidRDefault="003F2346" w:rsidP="00E36215">
      <w:pPr>
        <w:jc w:val="center"/>
        <w:rPr>
          <w:b/>
        </w:rPr>
      </w:pPr>
      <w:r w:rsidRPr="00641C6B">
        <w:rPr>
          <w:b/>
        </w:rPr>
        <w:t>2.</w:t>
      </w:r>
    </w:p>
    <w:p w:rsidR="003F2346" w:rsidRDefault="003F2346" w:rsidP="00E36215">
      <w:pPr>
        <w:jc w:val="center"/>
        <w:rPr>
          <w:b/>
        </w:rPr>
      </w:pPr>
    </w:p>
    <w:p w:rsidR="003F2346" w:rsidRDefault="003F2346" w:rsidP="00E36215">
      <w:pPr>
        <w:jc w:val="center"/>
        <w:rPr>
          <w:b/>
        </w:rPr>
      </w:pPr>
      <w:r>
        <w:rPr>
          <w:b/>
        </w:rPr>
        <w:t>Az ELTE vállalja</w:t>
      </w:r>
    </w:p>
    <w:p w:rsidR="003F2346" w:rsidRPr="00464160" w:rsidRDefault="003F2346" w:rsidP="00453D1D">
      <w:pPr>
        <w:rPr>
          <w:bCs/>
          <w:iCs/>
        </w:rPr>
      </w:pPr>
    </w:p>
    <w:p w:rsidR="003F2346" w:rsidRDefault="003F2346" w:rsidP="004C1AC2">
      <w:pPr>
        <w:numPr>
          <w:ilvl w:val="1"/>
          <w:numId w:val="7"/>
        </w:numPr>
        <w:tabs>
          <w:tab w:val="clear" w:pos="792"/>
          <w:tab w:val="num" w:pos="540"/>
        </w:tabs>
        <w:ind w:left="540" w:hanging="540"/>
        <w:jc w:val="both"/>
        <w:rPr>
          <w:bCs/>
          <w:iCs/>
        </w:rPr>
      </w:pPr>
      <w:r>
        <w:rPr>
          <w:bCs/>
          <w:iCs/>
        </w:rPr>
        <w:t>Az ELTE 220-01/3/1978 sz. és az 1978. július 1-én kelt átadás-átvételi dokumentumok szellemében a</w:t>
      </w:r>
      <w:r w:rsidRPr="00F5385B">
        <w:rPr>
          <w:bCs/>
          <w:iCs/>
        </w:rPr>
        <w:t>z ELTE az eddigiekhez hasonlóan biztosítja az intézmény működéséhez és fejlődéséhez szükséges infrastrukturális bázist.</w:t>
      </w:r>
      <w:r>
        <w:rPr>
          <w:bCs/>
          <w:iCs/>
        </w:rPr>
        <w:t xml:space="preserve"> </w:t>
      </w:r>
      <w:r w:rsidRPr="005B7264">
        <w:rPr>
          <w:bCs/>
          <w:iCs/>
        </w:rPr>
        <w:t>Garantálja a kutatói és oktatói állomá</w:t>
      </w:r>
      <w:r>
        <w:rPr>
          <w:bCs/>
          <w:iCs/>
        </w:rPr>
        <w:t>nynak a minőségi felsőoktatás</w:t>
      </w:r>
      <w:r w:rsidRPr="005B7264">
        <w:rPr>
          <w:bCs/>
          <w:iCs/>
        </w:rPr>
        <w:t xml:space="preserve"> és a nemzetközi kutatások követelményei által megkívánt színvonalát.</w:t>
      </w:r>
      <w:r>
        <w:rPr>
          <w:bCs/>
          <w:iCs/>
        </w:rPr>
        <w:t xml:space="preserve"> </w:t>
      </w:r>
      <w:r w:rsidRPr="005B7264">
        <w:rPr>
          <w:bCs/>
          <w:iCs/>
        </w:rPr>
        <w:t xml:space="preserve">Garantálja az intézmény aktív részvételét a régió tudományos közéletében és tehetséggondozásában. </w:t>
      </w:r>
      <w:r w:rsidRPr="00F5385B">
        <w:rPr>
          <w:bCs/>
          <w:iCs/>
        </w:rPr>
        <w:t>Garantálja az együttműködést akadémiai kutatóintézetekkel, és az egyetemi illetve az akadémiai minősítési eljárásokban való közreműködést.</w:t>
      </w:r>
    </w:p>
    <w:p w:rsidR="003F2346" w:rsidRDefault="003F2346" w:rsidP="00BA7B35">
      <w:pPr>
        <w:ind w:left="1080"/>
        <w:jc w:val="both"/>
        <w:rPr>
          <w:bCs/>
          <w:iCs/>
        </w:rPr>
      </w:pPr>
    </w:p>
    <w:p w:rsidR="003F2346" w:rsidRPr="00381613" w:rsidRDefault="003F2346" w:rsidP="004C1AC2">
      <w:pPr>
        <w:numPr>
          <w:ilvl w:val="1"/>
          <w:numId w:val="7"/>
        </w:numPr>
        <w:tabs>
          <w:tab w:val="clear" w:pos="792"/>
          <w:tab w:val="num" w:pos="540"/>
        </w:tabs>
        <w:ind w:left="540" w:hanging="540"/>
        <w:jc w:val="both"/>
        <w:rPr>
          <w:bCs/>
          <w:iCs/>
        </w:rPr>
      </w:pPr>
      <w:r w:rsidRPr="00570894">
        <w:rPr>
          <w:bCs/>
          <w:iCs/>
        </w:rPr>
        <w:t xml:space="preserve">Szombathely város gazdasági érdekeivel és </w:t>
      </w:r>
      <w:r>
        <w:rPr>
          <w:bCs/>
          <w:iCs/>
        </w:rPr>
        <w:t xml:space="preserve">tudományos-oktatási </w:t>
      </w:r>
      <w:r w:rsidRPr="00570894">
        <w:rPr>
          <w:bCs/>
          <w:iCs/>
        </w:rPr>
        <w:t>céljaival összhangban lévő stratégiai döntésével az ELTE 2012. június 1-től a térség regionális egyetemi kutatásait összefogó bázisaként működteti az ELTE Gothard Asztrofizikai Obszervatórium és Multidiszciplináris Kutatóközpontot.</w:t>
      </w:r>
      <w:r>
        <w:rPr>
          <w:bCs/>
          <w:iCs/>
        </w:rPr>
        <w:t xml:space="preserve"> </w:t>
      </w:r>
      <w:r w:rsidRPr="006B0390">
        <w:rPr>
          <w:bCs/>
          <w:iCs/>
        </w:rPr>
        <w:t xml:space="preserve">Az ELTE vállalja, hogy az egyetemi tudásbázis alapján a régiós műszaki-tudományos és oktatási fejlesztések igényeinek megfelelő kutatócsoportokat </w:t>
      </w:r>
      <w:r>
        <w:rPr>
          <w:bCs/>
          <w:iCs/>
        </w:rPr>
        <w:t xml:space="preserve">is </w:t>
      </w:r>
      <w:r w:rsidRPr="006B0390">
        <w:rPr>
          <w:bCs/>
          <w:iCs/>
        </w:rPr>
        <w:t xml:space="preserve">szervez, </w:t>
      </w:r>
      <w:r>
        <w:rPr>
          <w:bCs/>
          <w:iCs/>
        </w:rPr>
        <w:t xml:space="preserve">melyekben </w:t>
      </w:r>
      <w:r w:rsidRPr="006B0390">
        <w:rPr>
          <w:bCs/>
          <w:iCs/>
        </w:rPr>
        <w:t>integrálja a helyben már meglévő humán erőforrásokat.</w:t>
      </w:r>
    </w:p>
    <w:p w:rsidR="003F2346" w:rsidRPr="00F5385B" w:rsidRDefault="003F2346" w:rsidP="002721DA">
      <w:pPr>
        <w:ind w:left="900" w:hanging="540"/>
        <w:jc w:val="both"/>
        <w:rPr>
          <w:bCs/>
          <w:iCs/>
        </w:rPr>
      </w:pPr>
    </w:p>
    <w:p w:rsidR="003F2346" w:rsidRPr="00381613" w:rsidRDefault="003F2346" w:rsidP="004C1AC2">
      <w:pPr>
        <w:numPr>
          <w:ilvl w:val="1"/>
          <w:numId w:val="7"/>
        </w:numPr>
        <w:tabs>
          <w:tab w:val="clear" w:pos="792"/>
          <w:tab w:val="num" w:pos="540"/>
        </w:tabs>
        <w:ind w:left="540" w:hanging="540"/>
        <w:jc w:val="both"/>
        <w:rPr>
          <w:bCs/>
          <w:iCs/>
        </w:rPr>
      </w:pPr>
      <w:r w:rsidRPr="006B0390">
        <w:rPr>
          <w:bCs/>
          <w:iCs/>
        </w:rPr>
        <w:t>Az ELTE vállalja, hogy az ELTE GAO MKK-ban</w:t>
      </w:r>
      <w:r>
        <w:rPr>
          <w:bCs/>
          <w:iCs/>
        </w:rPr>
        <w:t xml:space="preserve"> </w:t>
      </w:r>
      <w:r>
        <w:t xml:space="preserve">az Önkormányzat által elindított "Szombathely visszavár" elnevezésű felsőoktatási ösztöndíjprogram szellemében szombathelyi kötődésre nevel, minden eszközzel segíti a város tudományos és kulturális életébe való beilleszkedést, </w:t>
      </w:r>
      <w:r>
        <w:rPr>
          <w:rFonts w:cs="Arial"/>
          <w:color w:val="000000"/>
        </w:rPr>
        <w:t>elősegítve ezzel Szombathely természettudományos szakember-</w:t>
      </w:r>
      <w:r w:rsidRPr="006B0390">
        <w:rPr>
          <w:rFonts w:cs="Arial"/>
          <w:color w:val="000000"/>
        </w:rPr>
        <w:t>utánpótlását</w:t>
      </w:r>
      <w:r>
        <w:rPr>
          <w:rFonts w:cs="Arial"/>
          <w:color w:val="000000"/>
        </w:rPr>
        <w:t>.</w:t>
      </w:r>
    </w:p>
    <w:p w:rsidR="003F2346" w:rsidRPr="006B0390" w:rsidRDefault="003F2346" w:rsidP="002721DA">
      <w:pPr>
        <w:ind w:left="900" w:hanging="540"/>
        <w:jc w:val="both"/>
        <w:rPr>
          <w:bCs/>
          <w:iCs/>
        </w:rPr>
      </w:pPr>
    </w:p>
    <w:p w:rsidR="003F2346" w:rsidRDefault="003F2346" w:rsidP="004C1AC2">
      <w:pPr>
        <w:numPr>
          <w:ilvl w:val="1"/>
          <w:numId w:val="7"/>
        </w:numPr>
        <w:tabs>
          <w:tab w:val="clear" w:pos="792"/>
          <w:tab w:val="num" w:pos="540"/>
        </w:tabs>
        <w:ind w:left="540" w:hanging="540"/>
        <w:jc w:val="both"/>
        <w:rPr>
          <w:bCs/>
          <w:iCs/>
        </w:rPr>
      </w:pPr>
      <w:r>
        <w:rPr>
          <w:bCs/>
          <w:iCs/>
        </w:rPr>
        <w:t>Az ELTE vállalja, hogy lehetősége szerint kitágítja a szigorúan vett tudományos kereteket és közművelődési, oktatási, ismeretterjesztési programok megvalósításával a felsőoktatásban és az akadémiai szférában zajló tudományos munka eredményeinek széleskörű megismertetését végzi.</w:t>
      </w:r>
    </w:p>
    <w:p w:rsidR="003F2346" w:rsidRDefault="003F2346" w:rsidP="002721DA">
      <w:pPr>
        <w:ind w:left="900" w:hanging="540"/>
        <w:jc w:val="both"/>
        <w:rPr>
          <w:bCs/>
          <w:iCs/>
        </w:rPr>
      </w:pPr>
    </w:p>
    <w:p w:rsidR="003F2346" w:rsidRDefault="003F2346" w:rsidP="004C1AC2">
      <w:pPr>
        <w:numPr>
          <w:ilvl w:val="1"/>
          <w:numId w:val="7"/>
        </w:numPr>
        <w:tabs>
          <w:tab w:val="clear" w:pos="792"/>
          <w:tab w:val="num" w:pos="540"/>
        </w:tabs>
        <w:ind w:left="540" w:hanging="540"/>
        <w:jc w:val="both"/>
        <w:rPr>
          <w:bCs/>
          <w:iCs/>
        </w:rPr>
      </w:pPr>
      <w:r w:rsidRPr="009E44ED">
        <w:rPr>
          <w:bCs/>
          <w:iCs/>
        </w:rPr>
        <w:t xml:space="preserve">Az 1881-ben alapított </w:t>
      </w:r>
      <w:r w:rsidRPr="00DF49C6">
        <w:rPr>
          <w:bCs/>
          <w:i/>
          <w:iCs/>
        </w:rPr>
        <w:t>„Herényi Astrophysikai Observatorium”</w:t>
      </w:r>
      <w:r w:rsidRPr="009E44ED">
        <w:rPr>
          <w:b/>
          <w:bCs/>
          <w:i/>
          <w:iCs/>
        </w:rPr>
        <w:t xml:space="preserve"> </w:t>
      </w:r>
      <w:r w:rsidRPr="009E44ED">
        <w:rPr>
          <w:bCs/>
          <w:iCs/>
        </w:rPr>
        <w:t>hazánk egyetlen olyan csillagászati intézménye, amely az alapítása helyén napjainkban is nemzetközi szintű tudományos munkát folytat.</w:t>
      </w:r>
      <w:r>
        <w:rPr>
          <w:bCs/>
          <w:iCs/>
        </w:rPr>
        <w:t xml:space="preserve"> A Gothard fivérek tudományos-technikai öröksége Szombathely városának tudománytörténeti értéke. Az ELTE vállalja, hogy </w:t>
      </w:r>
      <w:r w:rsidRPr="00FA47C6">
        <w:rPr>
          <w:bCs/>
          <w:iCs/>
        </w:rPr>
        <w:t xml:space="preserve">a Gothard féle műszereket és eszközöket bemutató, „Gothard Tudomány- és Technikatörténeti Állandó Kiállítás” </w:t>
      </w:r>
      <w:r>
        <w:rPr>
          <w:bCs/>
          <w:iCs/>
        </w:rPr>
        <w:t xml:space="preserve">–t </w:t>
      </w:r>
      <w:r w:rsidRPr="00FA47C6">
        <w:rPr>
          <w:bCs/>
          <w:iCs/>
        </w:rPr>
        <w:t>(működési engedély száma: Mk/d/8- 1978.)</w:t>
      </w:r>
      <w:r>
        <w:rPr>
          <w:bCs/>
          <w:iCs/>
        </w:rPr>
        <w:t xml:space="preserve"> fenntartja, fejleszti és üzemelteti</w:t>
      </w:r>
      <w:r w:rsidRPr="00FA47C6">
        <w:rPr>
          <w:bCs/>
          <w:iCs/>
        </w:rPr>
        <w:t xml:space="preserve">, a Gothard fivérek tudományos </w:t>
      </w:r>
      <w:r>
        <w:rPr>
          <w:bCs/>
          <w:iCs/>
        </w:rPr>
        <w:t>és technikai hagyatékát méltóképpen gondozza</w:t>
      </w:r>
      <w:r w:rsidRPr="00FA47C6">
        <w:rPr>
          <w:bCs/>
          <w:iCs/>
        </w:rPr>
        <w:t>, annak közművelődési célra való felhasználásá</w:t>
      </w:r>
      <w:r>
        <w:rPr>
          <w:bCs/>
          <w:iCs/>
        </w:rPr>
        <w:t>t biztosítja</w:t>
      </w:r>
      <w:r w:rsidRPr="00FA47C6">
        <w:rPr>
          <w:bCs/>
          <w:iCs/>
        </w:rPr>
        <w:t>.</w:t>
      </w:r>
    </w:p>
    <w:p w:rsidR="003F2346" w:rsidRPr="00FA47C6" w:rsidRDefault="003F2346" w:rsidP="00E62298">
      <w:pPr>
        <w:rPr>
          <w:bCs/>
          <w:iCs/>
        </w:rPr>
      </w:pPr>
    </w:p>
    <w:p w:rsidR="003F2346" w:rsidRDefault="003F2346" w:rsidP="00E36215">
      <w:pPr>
        <w:rPr>
          <w:bCs/>
          <w:iCs/>
        </w:rPr>
      </w:pPr>
    </w:p>
    <w:p w:rsidR="003F2346" w:rsidRPr="00641C6B" w:rsidRDefault="003F2346" w:rsidP="00E36215">
      <w:pPr>
        <w:jc w:val="center"/>
        <w:rPr>
          <w:b/>
        </w:rPr>
      </w:pPr>
      <w:r w:rsidRPr="00641C6B">
        <w:rPr>
          <w:b/>
        </w:rPr>
        <w:t xml:space="preserve">3. </w:t>
      </w:r>
    </w:p>
    <w:p w:rsidR="003F2346" w:rsidRDefault="003F2346" w:rsidP="00E36215">
      <w:pPr>
        <w:jc w:val="center"/>
        <w:rPr>
          <w:b/>
        </w:rPr>
      </w:pPr>
    </w:p>
    <w:p w:rsidR="003F2346" w:rsidRPr="00D77D17" w:rsidRDefault="003F2346" w:rsidP="00E36215">
      <w:pPr>
        <w:jc w:val="center"/>
        <w:rPr>
          <w:b/>
        </w:rPr>
      </w:pPr>
      <w:r>
        <w:rPr>
          <w:b/>
        </w:rPr>
        <w:t>Az Önkormányzat vállalja</w:t>
      </w:r>
    </w:p>
    <w:p w:rsidR="003F2346" w:rsidRPr="00D77D17" w:rsidRDefault="003F2346" w:rsidP="00D77D17">
      <w:pPr>
        <w:jc w:val="both"/>
      </w:pPr>
    </w:p>
    <w:p w:rsidR="003F2346" w:rsidRDefault="003F2346" w:rsidP="004C1AC2">
      <w:pPr>
        <w:pStyle w:val="ListParagraph"/>
        <w:numPr>
          <w:ilvl w:val="1"/>
          <w:numId w:val="8"/>
        </w:numPr>
        <w:tabs>
          <w:tab w:val="clear" w:pos="792"/>
          <w:tab w:val="num" w:pos="540"/>
        </w:tabs>
        <w:ind w:left="540" w:hanging="540"/>
        <w:jc w:val="both"/>
      </w:pPr>
      <w:r w:rsidRPr="00CD509B">
        <w:t xml:space="preserve">Az Önkormányzat kinyilvánítja, hogy az </w:t>
      </w:r>
      <w:r>
        <w:t>ELTE</w:t>
      </w:r>
      <w:r w:rsidRPr="00CD509B">
        <w:t xml:space="preserve"> által biztosított</w:t>
      </w:r>
      <w:r>
        <w:t xml:space="preserve"> graduális és posztgraduális képzések tényleges forrását képezik a város természettudományos szakember-utánpótlásának. </w:t>
      </w:r>
      <w:r w:rsidRPr="00D77D17">
        <w:t xml:space="preserve">Az Önkormányzat </w:t>
      </w:r>
      <w:r>
        <w:t>egyetért azzal, hogy a Multidiszciplináris Kutatóközpont keretei között végzett felsőfokú képzés és kutatómunka stratégiai tényezője a térség oktatási és tudományos fejlődésének,</w:t>
      </w:r>
      <w:r w:rsidRPr="00D77D17">
        <w:t xml:space="preserve"> katalizálja </w:t>
      </w:r>
      <w:r>
        <w:t xml:space="preserve">a reálszféra igénye szerinti, az iparban is felhasználható tudást közvetítő folyamatokat. Az Önkormányzat ezért vállalja, hogy évi költségvetésének tervezésekor megvizsgálja a 2.2 pontban körülírt Multidiszciplináris Kutatócsoportok pénzügyi támogatásának lehetőségét. </w:t>
      </w:r>
    </w:p>
    <w:p w:rsidR="003F2346" w:rsidRDefault="003F2346" w:rsidP="004C1AC2">
      <w:pPr>
        <w:pStyle w:val="ListParagraph"/>
        <w:tabs>
          <w:tab w:val="num" w:pos="540"/>
        </w:tabs>
        <w:ind w:left="0"/>
        <w:jc w:val="both"/>
      </w:pPr>
    </w:p>
    <w:p w:rsidR="003F2346" w:rsidRPr="00D958FF" w:rsidRDefault="003F2346" w:rsidP="004C1AC2">
      <w:pPr>
        <w:pStyle w:val="ListParagraph"/>
        <w:numPr>
          <w:ilvl w:val="1"/>
          <w:numId w:val="8"/>
        </w:numPr>
        <w:tabs>
          <w:tab w:val="clear" w:pos="792"/>
          <w:tab w:val="num" w:pos="540"/>
        </w:tabs>
        <w:ind w:left="540" w:hanging="540"/>
        <w:jc w:val="both"/>
      </w:pPr>
      <w:r>
        <w:t>Az Önkormányzat vállalja, hogy stratégiai partnereivel megismerteti az ELTE Multidiszciplináris Kutatóintézeti státuszát, mely szerint az ELTE portfóliójában szereplő képzések és kutatások bázisán, a Szombathely Megyei Jogú Város és partnereinek szempontjából fontos diszciplinák területén, többoldalú együttműködések keretében működtetett kutatócsoportokat lehet szervezni.</w:t>
      </w:r>
    </w:p>
    <w:p w:rsidR="003F2346" w:rsidRPr="00D77D17" w:rsidRDefault="003F2346" w:rsidP="00D958FF">
      <w:pPr>
        <w:pStyle w:val="ListParagraph"/>
        <w:ind w:left="1080"/>
        <w:jc w:val="both"/>
      </w:pPr>
    </w:p>
    <w:p w:rsidR="003F2346" w:rsidRDefault="003F2346" w:rsidP="004C1AC2">
      <w:pPr>
        <w:pStyle w:val="ListParagraph"/>
        <w:numPr>
          <w:ilvl w:val="1"/>
          <w:numId w:val="8"/>
        </w:numPr>
        <w:tabs>
          <w:tab w:val="clear" w:pos="792"/>
          <w:tab w:val="num" w:pos="540"/>
        </w:tabs>
        <w:ind w:left="540" w:hanging="540"/>
        <w:jc w:val="both"/>
      </w:pPr>
      <w:r>
        <w:t>Az Önkormányzat vállalja, hogy</w:t>
      </w:r>
      <w:r w:rsidRPr="00D77D17">
        <w:t xml:space="preserve"> a mindenkor hatályos lakásrendeletében meghatározottak szerint bérlakást biztosít az </w:t>
      </w:r>
      <w:r>
        <w:t>ELTE</w:t>
      </w:r>
      <w:r w:rsidRPr="00D77D17">
        <w:t xml:space="preserve"> számára a magas szintű egyetemi képzéshez szükséges szakemberek lakhatásának biztosítása érdekében.  </w:t>
      </w:r>
    </w:p>
    <w:p w:rsidR="003F2346" w:rsidRDefault="003F2346" w:rsidP="00D77D17">
      <w:pPr>
        <w:jc w:val="center"/>
        <w:rPr>
          <w:b/>
        </w:rPr>
      </w:pPr>
    </w:p>
    <w:p w:rsidR="003F2346" w:rsidRDefault="003F2346" w:rsidP="00D77D17">
      <w:pPr>
        <w:jc w:val="center"/>
        <w:rPr>
          <w:b/>
        </w:rPr>
      </w:pPr>
    </w:p>
    <w:p w:rsidR="003F2346" w:rsidRDefault="003F2346" w:rsidP="00D77D17">
      <w:pPr>
        <w:jc w:val="center"/>
        <w:rPr>
          <w:b/>
        </w:rPr>
      </w:pPr>
    </w:p>
    <w:p w:rsidR="003F2346" w:rsidRDefault="003F2346" w:rsidP="00D77D17">
      <w:pPr>
        <w:jc w:val="center"/>
        <w:rPr>
          <w:b/>
        </w:rPr>
      </w:pPr>
    </w:p>
    <w:p w:rsidR="003F2346" w:rsidRPr="00641C6B" w:rsidRDefault="003F2346" w:rsidP="00D77D17">
      <w:pPr>
        <w:jc w:val="center"/>
        <w:rPr>
          <w:b/>
        </w:rPr>
      </w:pPr>
      <w:r w:rsidRPr="00641C6B">
        <w:rPr>
          <w:b/>
        </w:rPr>
        <w:t xml:space="preserve">4. </w:t>
      </w:r>
    </w:p>
    <w:p w:rsidR="003F2346" w:rsidRDefault="003F2346" w:rsidP="00D77D17">
      <w:pPr>
        <w:jc w:val="center"/>
        <w:rPr>
          <w:b/>
        </w:rPr>
      </w:pPr>
    </w:p>
    <w:p w:rsidR="003F2346" w:rsidRPr="00D77D17" w:rsidRDefault="003F2346" w:rsidP="00D77D17">
      <w:pPr>
        <w:jc w:val="center"/>
        <w:rPr>
          <w:b/>
        </w:rPr>
      </w:pPr>
      <w:r w:rsidRPr="00D77D17">
        <w:rPr>
          <w:b/>
        </w:rPr>
        <w:t>Közös vállalások</w:t>
      </w:r>
    </w:p>
    <w:p w:rsidR="003F2346" w:rsidRPr="00D77D17" w:rsidRDefault="003F2346" w:rsidP="00D77D17">
      <w:pPr>
        <w:jc w:val="center"/>
      </w:pPr>
    </w:p>
    <w:p w:rsidR="003F2346" w:rsidRDefault="003F2346" w:rsidP="004C1AC2">
      <w:pPr>
        <w:pStyle w:val="ListParagraph"/>
        <w:numPr>
          <w:ilvl w:val="1"/>
          <w:numId w:val="9"/>
        </w:numPr>
        <w:tabs>
          <w:tab w:val="clear" w:pos="792"/>
          <w:tab w:val="num" w:pos="540"/>
        </w:tabs>
        <w:ind w:left="540" w:hanging="540"/>
        <w:jc w:val="both"/>
      </w:pPr>
      <w:r w:rsidRPr="004C1AC2">
        <w:t>Szerződő felek kölcsönösen együttműködnek a régió tudományos utánpótlásához és közvetve a munkaerőpiac elvárásaihoz igazodó képzésekhez szükséges feltételek megteremtése érdekében.</w:t>
      </w:r>
    </w:p>
    <w:p w:rsidR="003F2346" w:rsidRDefault="003F2346" w:rsidP="004C1AC2">
      <w:pPr>
        <w:tabs>
          <w:tab w:val="num" w:pos="540"/>
        </w:tabs>
        <w:ind w:left="540" w:hanging="540"/>
        <w:jc w:val="both"/>
      </w:pPr>
    </w:p>
    <w:p w:rsidR="003F2346" w:rsidRPr="004C1AC2" w:rsidRDefault="003F2346" w:rsidP="004C1AC2">
      <w:pPr>
        <w:pStyle w:val="ListParagraph"/>
        <w:numPr>
          <w:ilvl w:val="1"/>
          <w:numId w:val="9"/>
        </w:numPr>
        <w:tabs>
          <w:tab w:val="clear" w:pos="792"/>
          <w:tab w:val="num" w:pos="540"/>
        </w:tabs>
        <w:ind w:left="540" w:hanging="540"/>
        <w:jc w:val="both"/>
      </w:pPr>
      <w:r w:rsidRPr="004C1AC2">
        <w:t xml:space="preserve">Szerződő felek megállapodnak abban, hogy szükség szerint konzultálnak az aktuális feladatokról és kérdésekről. Az együttműködés tapasztalatairól, eredményeiről az ELTE minden év február utolsó napjáig írásbeli tájékoztatót készít, amelyet az Önkormányzat Közgyűlése a tárgyév március havi ülésén megtárgyal. </w:t>
      </w:r>
    </w:p>
    <w:p w:rsidR="003F2346" w:rsidRPr="00D77D17" w:rsidRDefault="003F2346" w:rsidP="00D77D17">
      <w:pPr>
        <w:jc w:val="both"/>
      </w:pPr>
    </w:p>
    <w:p w:rsidR="003F2346" w:rsidRPr="00D77D17" w:rsidRDefault="003F2346" w:rsidP="00D77D17">
      <w:pPr>
        <w:jc w:val="center"/>
        <w:rPr>
          <w:b/>
        </w:rPr>
      </w:pPr>
    </w:p>
    <w:p w:rsidR="003F2346" w:rsidRPr="00641C6B" w:rsidRDefault="003F2346" w:rsidP="00D77D17">
      <w:pPr>
        <w:jc w:val="center"/>
        <w:rPr>
          <w:b/>
        </w:rPr>
      </w:pPr>
      <w:r w:rsidRPr="00641C6B">
        <w:rPr>
          <w:b/>
        </w:rPr>
        <w:t xml:space="preserve">5. </w:t>
      </w:r>
    </w:p>
    <w:p w:rsidR="003F2346" w:rsidRDefault="003F2346" w:rsidP="00D77D17">
      <w:pPr>
        <w:jc w:val="center"/>
        <w:rPr>
          <w:b/>
        </w:rPr>
      </w:pPr>
    </w:p>
    <w:p w:rsidR="003F2346" w:rsidRPr="00D77D17" w:rsidRDefault="003F2346" w:rsidP="00D77D17">
      <w:pPr>
        <w:jc w:val="center"/>
        <w:rPr>
          <w:b/>
        </w:rPr>
      </w:pPr>
      <w:r w:rsidRPr="00D77D17">
        <w:rPr>
          <w:b/>
        </w:rPr>
        <w:t>Egyéb rendelkezések</w:t>
      </w:r>
    </w:p>
    <w:p w:rsidR="003F2346" w:rsidRPr="00D77D17" w:rsidRDefault="003F2346" w:rsidP="00D77D17">
      <w:pPr>
        <w:jc w:val="center"/>
      </w:pPr>
    </w:p>
    <w:p w:rsidR="003F2346" w:rsidRPr="00381613" w:rsidRDefault="003F2346" w:rsidP="007940E5">
      <w:pPr>
        <w:pStyle w:val="ListParagraph"/>
        <w:numPr>
          <w:ilvl w:val="0"/>
          <w:numId w:val="4"/>
        </w:numPr>
        <w:ind w:left="540" w:hanging="540"/>
        <w:jc w:val="both"/>
        <w:rPr>
          <w:rFonts w:cs="Arial"/>
        </w:rPr>
      </w:pPr>
      <w:r w:rsidRPr="00381613">
        <w:rPr>
          <w:rFonts w:cs="Arial"/>
        </w:rPr>
        <w:t xml:space="preserve">Jelen megállapodást a szerződő felek 2013. </w:t>
      </w:r>
      <w:r>
        <w:rPr>
          <w:rFonts w:cs="Arial"/>
        </w:rPr>
        <w:t>október</w:t>
      </w:r>
      <w:r w:rsidRPr="00381613">
        <w:rPr>
          <w:rFonts w:cs="Arial"/>
        </w:rPr>
        <w:t xml:space="preserve"> 1. napjától határozatlan időtartamra kötik azzal, hogy a megállapodás módosítását bármelyik fél kezdeményezheti. A megállapodás módosítására előzetes egyeztetést követően, mindkét fél egyetértése esetén kerül</w:t>
      </w:r>
      <w:r>
        <w:rPr>
          <w:rFonts w:cs="Arial"/>
        </w:rPr>
        <w:t>het</w:t>
      </w:r>
      <w:r w:rsidRPr="00381613">
        <w:rPr>
          <w:rFonts w:cs="Arial"/>
        </w:rPr>
        <w:t xml:space="preserve"> sor. </w:t>
      </w:r>
    </w:p>
    <w:p w:rsidR="003F2346" w:rsidRPr="00D77D17" w:rsidRDefault="003F2346" w:rsidP="007940E5">
      <w:pPr>
        <w:ind w:left="540" w:hanging="540"/>
        <w:jc w:val="both"/>
        <w:rPr>
          <w:rFonts w:cs="Arial"/>
        </w:rPr>
      </w:pPr>
    </w:p>
    <w:p w:rsidR="003F2346" w:rsidRPr="00C30E36" w:rsidRDefault="003F2346" w:rsidP="007940E5">
      <w:pPr>
        <w:pStyle w:val="ListParagraph"/>
        <w:numPr>
          <w:ilvl w:val="0"/>
          <w:numId w:val="3"/>
        </w:numPr>
        <w:ind w:left="540" w:hanging="540"/>
        <w:jc w:val="both"/>
        <w:rPr>
          <w:rFonts w:cs="Arial"/>
        </w:rPr>
      </w:pPr>
      <w:r w:rsidRPr="00381613">
        <w:rPr>
          <w:rFonts w:cs="Arial"/>
        </w:rPr>
        <w:t xml:space="preserve">Szerződő felek megállapodnak abban, hogy minden év </w:t>
      </w:r>
      <w:r w:rsidRPr="00C76DDD">
        <w:rPr>
          <w:rFonts w:cs="Arial"/>
        </w:rPr>
        <w:t>március</w:t>
      </w:r>
      <w:r w:rsidRPr="00381613">
        <w:rPr>
          <w:rFonts w:cs="Arial"/>
        </w:rPr>
        <w:t xml:space="preserve"> 31. napjáig felülvizsgálják az együttműködési megállapodásban foglaltakat, és az Önkormányzat költségvetési lehetőségeire is figyelemmel az együttműködés kiterjesztésének lehetőségeit. </w:t>
      </w:r>
    </w:p>
    <w:p w:rsidR="003F2346" w:rsidRPr="00D77D17" w:rsidRDefault="003F2346" w:rsidP="007940E5">
      <w:pPr>
        <w:suppressAutoHyphens/>
        <w:overflowPunct w:val="0"/>
        <w:autoSpaceDE w:val="0"/>
        <w:autoSpaceDN w:val="0"/>
        <w:adjustRightInd w:val="0"/>
        <w:ind w:left="540" w:hanging="540"/>
        <w:jc w:val="both"/>
        <w:textAlignment w:val="baseline"/>
        <w:rPr>
          <w:rFonts w:cs="Arial"/>
          <w:szCs w:val="20"/>
        </w:rPr>
      </w:pPr>
    </w:p>
    <w:p w:rsidR="003F2346" w:rsidRPr="00381613" w:rsidRDefault="003F2346" w:rsidP="007940E5">
      <w:pPr>
        <w:pStyle w:val="ListParagraph"/>
        <w:numPr>
          <w:ilvl w:val="0"/>
          <w:numId w:val="5"/>
        </w:numPr>
        <w:suppressAutoHyphens/>
        <w:overflowPunct w:val="0"/>
        <w:autoSpaceDE w:val="0"/>
        <w:autoSpaceDN w:val="0"/>
        <w:adjustRightInd w:val="0"/>
        <w:ind w:left="540" w:hanging="540"/>
        <w:jc w:val="both"/>
        <w:textAlignment w:val="baseline"/>
        <w:rPr>
          <w:rFonts w:cs="Arial"/>
          <w:szCs w:val="20"/>
        </w:rPr>
      </w:pPr>
      <w:r w:rsidRPr="00381613">
        <w:rPr>
          <w:rFonts w:cs="Arial"/>
          <w:szCs w:val="20"/>
        </w:rPr>
        <w:t xml:space="preserve">Szerződő felek jelen megállapodás teljesítése során egymással együttműködnek. </w:t>
      </w:r>
    </w:p>
    <w:p w:rsidR="003F2346" w:rsidRPr="00D77D17" w:rsidRDefault="003F2346" w:rsidP="007940E5">
      <w:pPr>
        <w:suppressAutoHyphens/>
        <w:overflowPunct w:val="0"/>
        <w:autoSpaceDE w:val="0"/>
        <w:autoSpaceDN w:val="0"/>
        <w:adjustRightInd w:val="0"/>
        <w:ind w:left="540" w:hanging="540"/>
        <w:jc w:val="both"/>
        <w:textAlignment w:val="baseline"/>
        <w:rPr>
          <w:rFonts w:ascii="Times New Roman" w:hAnsi="Times New Roman" w:cs="Arial"/>
          <w:szCs w:val="20"/>
        </w:rPr>
      </w:pPr>
    </w:p>
    <w:p w:rsidR="003F2346" w:rsidRDefault="003F2346" w:rsidP="007940E5">
      <w:pPr>
        <w:pStyle w:val="ListParagraph"/>
        <w:numPr>
          <w:ilvl w:val="0"/>
          <w:numId w:val="6"/>
        </w:numPr>
        <w:suppressAutoHyphens/>
        <w:overflowPunct w:val="0"/>
        <w:autoSpaceDE w:val="0"/>
        <w:autoSpaceDN w:val="0"/>
        <w:adjustRightInd w:val="0"/>
        <w:ind w:left="540" w:hanging="540"/>
        <w:jc w:val="both"/>
        <w:textAlignment w:val="baseline"/>
      </w:pPr>
      <w:r w:rsidRPr="00381613">
        <w:rPr>
          <w:rFonts w:cs="Arial"/>
          <w:szCs w:val="20"/>
        </w:rPr>
        <w:t>Szerződő felek megállapodnak abban, hogy jelen megállapodást bármelyik fél, indokolás nélkül, 3 hónapos felmondási idővel, év végével írásban mondhatja fel.</w:t>
      </w:r>
    </w:p>
    <w:p w:rsidR="003F2346" w:rsidRDefault="003F2346" w:rsidP="007940E5">
      <w:pPr>
        <w:suppressAutoHyphens/>
        <w:overflowPunct w:val="0"/>
        <w:autoSpaceDE w:val="0"/>
        <w:autoSpaceDN w:val="0"/>
        <w:adjustRightInd w:val="0"/>
        <w:ind w:left="540" w:hanging="540"/>
        <w:jc w:val="both"/>
        <w:textAlignment w:val="baseline"/>
        <w:rPr>
          <w:rFonts w:cs="Arial"/>
          <w:szCs w:val="20"/>
        </w:rPr>
      </w:pPr>
    </w:p>
    <w:p w:rsidR="003F2346" w:rsidRDefault="003F2346" w:rsidP="007940E5">
      <w:pPr>
        <w:suppressAutoHyphens/>
        <w:overflowPunct w:val="0"/>
        <w:autoSpaceDE w:val="0"/>
        <w:autoSpaceDN w:val="0"/>
        <w:adjustRightInd w:val="0"/>
        <w:ind w:left="540" w:hanging="540"/>
        <w:jc w:val="both"/>
        <w:textAlignment w:val="baseline"/>
        <w:rPr>
          <w:rFonts w:cs="Arial"/>
          <w:szCs w:val="20"/>
        </w:rPr>
      </w:pPr>
      <w:r>
        <w:rPr>
          <w:rFonts w:cs="Arial"/>
          <w:szCs w:val="20"/>
        </w:rPr>
        <w:t>5.5.</w:t>
      </w:r>
      <w:r>
        <w:rPr>
          <w:rFonts w:cs="Arial"/>
          <w:szCs w:val="20"/>
        </w:rPr>
        <w:tab/>
        <w:t>A jelen megállapodás hatálya nem terjed ki a Szerződő felek közötti több évtizedes gyümölcsöző munkakapcsolaton alapuló, egyedi elbírálás szerint nyújtható támogatásokra. A jelen megállapodás esetleges megszűnése a kölcsönös előnyökön alapuló együttműködés gyakorlatát semmilyen formában nem érinti.</w:t>
      </w:r>
    </w:p>
    <w:p w:rsidR="003F2346" w:rsidRDefault="003F2346" w:rsidP="00285DE5">
      <w:pPr>
        <w:suppressAutoHyphens/>
        <w:overflowPunct w:val="0"/>
        <w:autoSpaceDE w:val="0"/>
        <w:autoSpaceDN w:val="0"/>
        <w:adjustRightInd w:val="0"/>
        <w:ind w:left="900" w:hanging="540"/>
        <w:jc w:val="both"/>
        <w:textAlignment w:val="baseline"/>
        <w:rPr>
          <w:rFonts w:cs="Arial"/>
          <w:szCs w:val="20"/>
        </w:rPr>
      </w:pPr>
    </w:p>
    <w:p w:rsidR="003F2346" w:rsidRPr="00070A80" w:rsidRDefault="003F2346" w:rsidP="00285DE5">
      <w:pPr>
        <w:suppressAutoHyphens/>
        <w:overflowPunct w:val="0"/>
        <w:autoSpaceDE w:val="0"/>
        <w:autoSpaceDN w:val="0"/>
        <w:adjustRightInd w:val="0"/>
        <w:ind w:left="900" w:hanging="540"/>
        <w:jc w:val="both"/>
        <w:textAlignment w:val="baseline"/>
        <w:rPr>
          <w:rFonts w:cs="Arial"/>
          <w:szCs w:val="20"/>
        </w:rPr>
      </w:pPr>
    </w:p>
    <w:p w:rsidR="003F2346" w:rsidRPr="00641C6B" w:rsidRDefault="003F2346" w:rsidP="00285DE5">
      <w:pPr>
        <w:ind w:left="900" w:hanging="540"/>
        <w:jc w:val="center"/>
        <w:rPr>
          <w:b/>
        </w:rPr>
      </w:pPr>
      <w:r w:rsidRPr="00641C6B">
        <w:rPr>
          <w:b/>
        </w:rPr>
        <w:t>6.</w:t>
      </w:r>
      <w:r>
        <w:rPr>
          <w:b/>
        </w:rPr>
        <w:tab/>
      </w:r>
    </w:p>
    <w:p w:rsidR="003F2346" w:rsidRDefault="003F2346" w:rsidP="00285DE5">
      <w:pPr>
        <w:ind w:left="900" w:hanging="540"/>
        <w:jc w:val="center"/>
        <w:rPr>
          <w:b/>
        </w:rPr>
      </w:pPr>
    </w:p>
    <w:p w:rsidR="003F2346" w:rsidRDefault="003F2346" w:rsidP="00285DE5">
      <w:pPr>
        <w:ind w:left="900" w:hanging="540"/>
        <w:jc w:val="center"/>
        <w:rPr>
          <w:b/>
        </w:rPr>
      </w:pPr>
      <w:r w:rsidRPr="00070A80">
        <w:rPr>
          <w:b/>
        </w:rPr>
        <w:t>Záró rendelkezések</w:t>
      </w:r>
    </w:p>
    <w:p w:rsidR="003F2346" w:rsidRPr="00422613" w:rsidRDefault="003F2346" w:rsidP="00285DE5">
      <w:pPr>
        <w:ind w:left="900" w:hanging="540"/>
        <w:jc w:val="center"/>
        <w:rPr>
          <w:b/>
        </w:rPr>
      </w:pPr>
    </w:p>
    <w:p w:rsidR="003F2346" w:rsidRDefault="003F2346" w:rsidP="00F70054">
      <w:pPr>
        <w:ind w:left="540" w:hanging="540"/>
        <w:jc w:val="both"/>
        <w:rPr>
          <w:rFonts w:cs="Arial"/>
        </w:rPr>
      </w:pPr>
      <w:r>
        <w:rPr>
          <w:rFonts w:cs="Arial"/>
        </w:rPr>
        <w:t>6.1.</w:t>
      </w:r>
      <w:r>
        <w:rPr>
          <w:rFonts w:cs="Arial"/>
        </w:rPr>
        <w:tab/>
      </w:r>
      <w:r w:rsidRPr="00070A80">
        <w:rPr>
          <w:rFonts w:cs="Arial"/>
        </w:rPr>
        <w:t xml:space="preserve">A jelen </w:t>
      </w:r>
      <w:r>
        <w:rPr>
          <w:rFonts w:cs="Arial"/>
        </w:rPr>
        <w:t>m</w:t>
      </w:r>
      <w:r w:rsidRPr="00070A80">
        <w:rPr>
          <w:rFonts w:cs="Arial"/>
        </w:rPr>
        <w:t xml:space="preserve">egállapodás szerint szükséges valamennyi nyilatkozatot a </w:t>
      </w:r>
      <w:r>
        <w:rPr>
          <w:rFonts w:cs="Arial"/>
        </w:rPr>
        <w:t>Szerződő f</w:t>
      </w:r>
      <w:r w:rsidRPr="00070A80">
        <w:rPr>
          <w:rFonts w:cs="Arial"/>
        </w:rPr>
        <w:t xml:space="preserve">elek írásban (postai vagy elektronikus úton közölve) kötelesek megtenni. A szerződésszegéssel, illetve a </w:t>
      </w:r>
      <w:r>
        <w:rPr>
          <w:rFonts w:cs="Arial"/>
        </w:rPr>
        <w:t>m</w:t>
      </w:r>
      <w:r w:rsidRPr="00070A80">
        <w:rPr>
          <w:rFonts w:cs="Arial"/>
        </w:rPr>
        <w:t xml:space="preserve">egállapodás megszűnésével kapcsolatos nyilatkozatok kizárólag postai úton kézbesíthetők. A jelen </w:t>
      </w:r>
      <w:r>
        <w:rPr>
          <w:rFonts w:cs="Arial"/>
        </w:rPr>
        <w:t>m</w:t>
      </w:r>
      <w:r w:rsidRPr="00070A80">
        <w:rPr>
          <w:rFonts w:cs="Arial"/>
        </w:rPr>
        <w:t>egállapodással kapcsolatos írásbeli nyilatkozatok akkor is szabályszerűen közöltnek tekintendők, ha a címzett az átvételt megtagadta, vagy a küldeményt nem vette át. Ilyen esetben a kézbesítés időpontja az átvétel megtagadásának</w:t>
      </w:r>
      <w:r>
        <w:rPr>
          <w:rFonts w:cs="Arial"/>
        </w:rPr>
        <w:t xml:space="preserve"> </w:t>
      </w:r>
      <w:r w:rsidRPr="00070A80">
        <w:rPr>
          <w:rFonts w:cs="Arial"/>
        </w:rPr>
        <w:t>napja, illetve a kézbesítés eredménytelen megkísérléséről szóló postai jelentés napja.</w:t>
      </w:r>
    </w:p>
    <w:p w:rsidR="003F2346" w:rsidRDefault="003F2346" w:rsidP="00422613">
      <w:pPr>
        <w:ind w:left="1080" w:hanging="720"/>
        <w:jc w:val="both"/>
        <w:rPr>
          <w:rFonts w:cs="Arial"/>
        </w:rPr>
      </w:pPr>
    </w:p>
    <w:p w:rsidR="003F2346" w:rsidRDefault="003F2346" w:rsidP="00F70054">
      <w:pPr>
        <w:ind w:left="540" w:hanging="540"/>
        <w:jc w:val="both"/>
        <w:rPr>
          <w:rFonts w:cs="Arial"/>
        </w:rPr>
      </w:pPr>
      <w:r>
        <w:rPr>
          <w:rFonts w:cs="Arial"/>
        </w:rPr>
        <w:t>6.2.</w:t>
      </w:r>
      <w:r>
        <w:rPr>
          <w:rFonts w:cs="Arial"/>
        </w:rPr>
        <w:tab/>
      </w:r>
      <w:r w:rsidRPr="00070A80">
        <w:rPr>
          <w:rFonts w:cs="Arial"/>
        </w:rPr>
        <w:t xml:space="preserve">A </w:t>
      </w:r>
      <w:r>
        <w:rPr>
          <w:rFonts w:cs="Arial"/>
        </w:rPr>
        <w:t>Szerződő f</w:t>
      </w:r>
      <w:r w:rsidRPr="00070A80">
        <w:rPr>
          <w:rFonts w:cs="Arial"/>
        </w:rPr>
        <w:t xml:space="preserve">elek a vitás, sérelmes ügyeiket, jóindulatot és jóakaratot tanúsítva egymás iránt, békés úton kísérlik meg rendezni. </w:t>
      </w:r>
    </w:p>
    <w:p w:rsidR="003F2346" w:rsidRDefault="003F2346" w:rsidP="00F70054">
      <w:pPr>
        <w:ind w:left="540" w:hanging="540"/>
        <w:jc w:val="both"/>
        <w:rPr>
          <w:rFonts w:cs="Arial"/>
        </w:rPr>
      </w:pPr>
    </w:p>
    <w:p w:rsidR="003F2346" w:rsidRDefault="003F2346" w:rsidP="00F70054">
      <w:pPr>
        <w:ind w:left="540" w:hanging="540"/>
        <w:jc w:val="both"/>
        <w:rPr>
          <w:rFonts w:cs="Arial"/>
        </w:rPr>
      </w:pPr>
      <w:r>
        <w:rPr>
          <w:rFonts w:cs="Arial"/>
        </w:rPr>
        <w:t>6.3.</w:t>
      </w:r>
      <w:r>
        <w:rPr>
          <w:rFonts w:cs="Arial"/>
        </w:rPr>
        <w:tab/>
      </w:r>
      <w:r w:rsidRPr="00070A80">
        <w:rPr>
          <w:rFonts w:cs="Arial"/>
        </w:rPr>
        <w:t xml:space="preserve">A </w:t>
      </w:r>
      <w:r>
        <w:rPr>
          <w:rFonts w:cs="Arial"/>
        </w:rPr>
        <w:t>Szerződő f</w:t>
      </w:r>
      <w:r w:rsidRPr="00070A80">
        <w:rPr>
          <w:rFonts w:cs="Arial"/>
        </w:rPr>
        <w:t xml:space="preserve">elek a jelen </w:t>
      </w:r>
      <w:r>
        <w:rPr>
          <w:rFonts w:cs="Arial"/>
        </w:rPr>
        <w:t>m</w:t>
      </w:r>
      <w:r w:rsidRPr="00070A80">
        <w:rPr>
          <w:rFonts w:cs="Arial"/>
        </w:rPr>
        <w:t>egállapodás és az annak alapján az együttműködés egyes területeire megkötött külön megállapodások létrehozása és teljesítése kapcsán tudomásukra jutott adatokat üzleti titokként kötelesek kezelni:</w:t>
      </w:r>
    </w:p>
    <w:p w:rsidR="003F2346" w:rsidRDefault="003F2346" w:rsidP="00285DE5">
      <w:pPr>
        <w:ind w:left="900" w:hanging="540"/>
        <w:jc w:val="both"/>
        <w:rPr>
          <w:rFonts w:cs="Arial"/>
        </w:rPr>
      </w:pPr>
    </w:p>
    <w:p w:rsidR="003F2346" w:rsidRDefault="003F2346" w:rsidP="00411100">
      <w:pPr>
        <w:ind w:left="1260" w:hanging="720"/>
        <w:jc w:val="both"/>
        <w:rPr>
          <w:rFonts w:cs="Arial"/>
        </w:rPr>
      </w:pPr>
      <w:r>
        <w:rPr>
          <w:rFonts w:cs="Arial"/>
        </w:rPr>
        <w:t>6.3</w:t>
      </w:r>
      <w:r w:rsidRPr="00070A80">
        <w:rPr>
          <w:rFonts w:cs="Arial"/>
        </w:rPr>
        <w:t xml:space="preserve">.1. </w:t>
      </w:r>
      <w:r>
        <w:rPr>
          <w:rFonts w:cs="Arial"/>
        </w:rPr>
        <w:tab/>
      </w:r>
      <w:r w:rsidRPr="00070A80">
        <w:rPr>
          <w:rFonts w:cs="Arial"/>
        </w:rPr>
        <w:t xml:space="preserve">A </w:t>
      </w:r>
      <w:r>
        <w:rPr>
          <w:rFonts w:cs="Arial"/>
        </w:rPr>
        <w:t>Szerződő f</w:t>
      </w:r>
      <w:r w:rsidRPr="00070A80">
        <w:rPr>
          <w:rFonts w:cs="Arial"/>
        </w:rPr>
        <w:t xml:space="preserve">elek kötelezik magukat arra, hogy védik és őrzik a jelen </w:t>
      </w:r>
      <w:r>
        <w:rPr>
          <w:rFonts w:cs="Arial"/>
        </w:rPr>
        <w:t>m</w:t>
      </w:r>
      <w:r w:rsidRPr="00070A80">
        <w:rPr>
          <w:rFonts w:cs="Arial"/>
        </w:rPr>
        <w:t xml:space="preserve">egállapodás teljesítése során tudomásukra jutott adatokat, információkat, dokumentumokat, és minden erőfeszítést megtesznek annak érdekében, hogy azok megfelelő védelmét biztosítsák. </w:t>
      </w:r>
    </w:p>
    <w:p w:rsidR="003F2346" w:rsidRPr="00070A80" w:rsidRDefault="003F2346" w:rsidP="00411100">
      <w:pPr>
        <w:ind w:left="1260" w:hanging="720"/>
        <w:jc w:val="both"/>
        <w:rPr>
          <w:rFonts w:cs="Arial"/>
        </w:rPr>
      </w:pPr>
    </w:p>
    <w:p w:rsidR="003F2346" w:rsidRDefault="003F2346" w:rsidP="00411100">
      <w:pPr>
        <w:pStyle w:val="ListParagraph"/>
        <w:ind w:left="1260" w:hanging="720"/>
        <w:jc w:val="both"/>
        <w:rPr>
          <w:rFonts w:cs="Arial"/>
        </w:rPr>
      </w:pPr>
      <w:r>
        <w:rPr>
          <w:rFonts w:cs="Arial"/>
        </w:rPr>
        <w:t>6</w:t>
      </w:r>
      <w:r w:rsidRPr="00070A80">
        <w:rPr>
          <w:rFonts w:cs="Arial"/>
        </w:rPr>
        <w:t xml:space="preserve">.3.2. </w:t>
      </w:r>
      <w:r>
        <w:rPr>
          <w:rFonts w:cs="Arial"/>
        </w:rPr>
        <w:tab/>
      </w:r>
      <w:r w:rsidRPr="00070A80">
        <w:rPr>
          <w:rFonts w:cs="Arial"/>
        </w:rPr>
        <w:t xml:space="preserve">Amennyiben a </w:t>
      </w:r>
      <w:r>
        <w:rPr>
          <w:rFonts w:cs="Arial"/>
        </w:rPr>
        <w:t>m</w:t>
      </w:r>
      <w:r w:rsidRPr="00070A80">
        <w:rPr>
          <w:rFonts w:cs="Arial"/>
        </w:rPr>
        <w:t xml:space="preserve">egállapodás teljesítése során bármelyik fél minősített adatokba nyer betekintést, vagy azok birtokába jut, köteles </w:t>
      </w:r>
      <w:r w:rsidRPr="0036598F">
        <w:rPr>
          <w:rFonts w:cs="Arial"/>
        </w:rPr>
        <w:t>az információs önrendelkezési jogról és az információszabadságról szóló 2011. évi CXII.</w:t>
      </w:r>
      <w:r w:rsidRPr="00070A80">
        <w:rPr>
          <w:rFonts w:cs="Arial"/>
        </w:rPr>
        <w:t xml:space="preserve"> törvényben foglaltaknak megfelelően eljárni.</w:t>
      </w:r>
    </w:p>
    <w:p w:rsidR="003F2346" w:rsidRPr="00070A80" w:rsidRDefault="003F2346" w:rsidP="00411100">
      <w:pPr>
        <w:pStyle w:val="ListParagraph"/>
        <w:ind w:left="1260" w:hanging="720"/>
        <w:jc w:val="both"/>
        <w:rPr>
          <w:rFonts w:cs="Arial"/>
        </w:rPr>
      </w:pPr>
    </w:p>
    <w:p w:rsidR="003F2346" w:rsidRDefault="003F2346" w:rsidP="00411100">
      <w:pPr>
        <w:ind w:left="1260" w:hanging="720"/>
        <w:jc w:val="both"/>
        <w:rPr>
          <w:rFonts w:cs="Arial"/>
        </w:rPr>
      </w:pPr>
      <w:r>
        <w:rPr>
          <w:rFonts w:cs="Arial"/>
        </w:rPr>
        <w:t>6</w:t>
      </w:r>
      <w:r w:rsidRPr="00070A80">
        <w:rPr>
          <w:rFonts w:cs="Arial"/>
        </w:rPr>
        <w:t xml:space="preserve">.3.3. </w:t>
      </w:r>
      <w:r>
        <w:rPr>
          <w:rFonts w:cs="Arial"/>
        </w:rPr>
        <w:tab/>
      </w:r>
      <w:r w:rsidRPr="00070A80">
        <w:rPr>
          <w:rFonts w:cs="Arial"/>
        </w:rPr>
        <w:t>Nem minősül üzleti titoknak az állami költségvetés felhasználásával kapcsolatos adat, valamint az az adat, amelynek megismerését vagy nyilvánosságra hozatalát külön törvény közérdekből elrendeli. A nyilvánosságra hozatal azonban nem eredményezheti az olyan adatokhoz − így különösen a technológiai eljárásokra, a műszaki megoldásokra, a gyártási folyamatokra, a munkaszervezési és logisztikai módszerekre, továbbá a know-how-ra vonatkozó adatokhoz − való hozzáférést, amelyek megismerése az üzleti tevékenység végzése szempontjából aránytalan sérelmet okozna, feltéve, hogy ez nem akadályozza meg a közérdekből nyilvános adat megismerésének lehetőségét.</w:t>
      </w:r>
    </w:p>
    <w:p w:rsidR="003F2346" w:rsidRPr="00070A80" w:rsidRDefault="003F2346" w:rsidP="00411100">
      <w:pPr>
        <w:ind w:left="1260" w:hanging="720"/>
        <w:jc w:val="both"/>
        <w:rPr>
          <w:rFonts w:cs="Arial"/>
        </w:rPr>
      </w:pPr>
    </w:p>
    <w:p w:rsidR="003F2346" w:rsidRDefault="003F2346" w:rsidP="00411100">
      <w:pPr>
        <w:pStyle w:val="ListParagraph"/>
        <w:ind w:left="1260" w:hanging="720"/>
        <w:jc w:val="both"/>
        <w:rPr>
          <w:rFonts w:cs="Arial"/>
        </w:rPr>
      </w:pPr>
      <w:r>
        <w:rPr>
          <w:rFonts w:cs="Arial"/>
        </w:rPr>
        <w:t>6</w:t>
      </w:r>
      <w:r w:rsidRPr="00070A80">
        <w:rPr>
          <w:rFonts w:cs="Arial"/>
        </w:rPr>
        <w:t xml:space="preserve">.3.4. </w:t>
      </w:r>
      <w:r>
        <w:rPr>
          <w:rFonts w:cs="Arial"/>
        </w:rPr>
        <w:tab/>
      </w:r>
      <w:r w:rsidRPr="00070A80">
        <w:rPr>
          <w:rFonts w:cs="Arial"/>
        </w:rPr>
        <w:t xml:space="preserve">A </w:t>
      </w:r>
      <w:r>
        <w:rPr>
          <w:rFonts w:cs="Arial"/>
        </w:rPr>
        <w:t xml:space="preserve">Szerződő felek tudomással bírnak arról, </w:t>
      </w:r>
      <w:r w:rsidRPr="00070A80">
        <w:rPr>
          <w:rFonts w:cs="Arial"/>
        </w:rPr>
        <w:t xml:space="preserve">hogy az Állami Számvevőszék vizsgálhatja az államháztartás alrendszereiből finanszírozott beszerzéseket és az államháztartás alrendszereinek vagyonát érintő szerződéseket az Egyetemnél, valamint azoknál a szerződő feleknél, akik, illetve amelyek a </w:t>
      </w:r>
      <w:r>
        <w:rPr>
          <w:rFonts w:cs="Arial"/>
        </w:rPr>
        <w:t>m</w:t>
      </w:r>
      <w:r w:rsidRPr="00070A80">
        <w:rPr>
          <w:rFonts w:cs="Arial"/>
        </w:rPr>
        <w:t xml:space="preserve">egállapodás teljesítéséért felelősek, továbbá a </w:t>
      </w:r>
      <w:r>
        <w:rPr>
          <w:rFonts w:cs="Arial"/>
        </w:rPr>
        <w:t>m</w:t>
      </w:r>
      <w:r w:rsidRPr="00070A80">
        <w:rPr>
          <w:rFonts w:cs="Arial"/>
        </w:rPr>
        <w:t>egállapodás teljesítésében közreműködő valamennyi gazdálkodó szervezetnél.</w:t>
      </w:r>
    </w:p>
    <w:p w:rsidR="003F2346" w:rsidRPr="00070A80" w:rsidRDefault="003F2346" w:rsidP="00411100">
      <w:pPr>
        <w:pStyle w:val="ListParagraph"/>
        <w:ind w:left="1080" w:hanging="720"/>
        <w:jc w:val="both"/>
        <w:rPr>
          <w:rFonts w:cs="Arial"/>
        </w:rPr>
      </w:pPr>
    </w:p>
    <w:p w:rsidR="003F2346" w:rsidRDefault="003F2346" w:rsidP="00411100">
      <w:pPr>
        <w:pStyle w:val="ListParagraph"/>
        <w:ind w:left="1260" w:hanging="720"/>
        <w:jc w:val="both"/>
        <w:rPr>
          <w:rFonts w:cs="Arial"/>
        </w:rPr>
      </w:pPr>
      <w:r>
        <w:rPr>
          <w:rFonts w:cs="Arial"/>
        </w:rPr>
        <w:t>6.</w:t>
      </w:r>
      <w:r w:rsidRPr="00070A80">
        <w:rPr>
          <w:rFonts w:cs="Arial"/>
        </w:rPr>
        <w:t xml:space="preserve">3.5. </w:t>
      </w:r>
      <w:r>
        <w:rPr>
          <w:rFonts w:cs="Arial"/>
        </w:rPr>
        <w:tab/>
      </w:r>
      <w:r w:rsidRPr="00070A80">
        <w:rPr>
          <w:rFonts w:cs="Arial"/>
        </w:rPr>
        <w:t xml:space="preserve">A </w:t>
      </w:r>
      <w:r>
        <w:rPr>
          <w:rFonts w:cs="Arial"/>
        </w:rPr>
        <w:t>Szerződő felek</w:t>
      </w:r>
      <w:r w:rsidRPr="00070A80">
        <w:rPr>
          <w:rFonts w:cs="Arial"/>
        </w:rPr>
        <w:t xml:space="preserve"> tudomás</w:t>
      </w:r>
      <w:r>
        <w:rPr>
          <w:rFonts w:cs="Arial"/>
        </w:rPr>
        <w:t>sa</w:t>
      </w:r>
      <w:r w:rsidRPr="00070A80">
        <w:rPr>
          <w:rFonts w:cs="Arial"/>
        </w:rPr>
        <w:t xml:space="preserve">l </w:t>
      </w:r>
      <w:r>
        <w:rPr>
          <w:rFonts w:cs="Arial"/>
        </w:rPr>
        <w:t>bírnak arról</w:t>
      </w:r>
      <w:r w:rsidRPr="00070A80">
        <w:rPr>
          <w:rFonts w:cs="Arial"/>
        </w:rPr>
        <w:t xml:space="preserve">, hogy a jelen Megállapodás és az annak alapján az együttműködés egyes területeire </w:t>
      </w:r>
      <w:r>
        <w:rPr>
          <w:rFonts w:cs="Arial"/>
        </w:rPr>
        <w:t xml:space="preserve">esetlegesen </w:t>
      </w:r>
      <w:r w:rsidRPr="00070A80">
        <w:rPr>
          <w:rFonts w:cs="Arial"/>
        </w:rPr>
        <w:t xml:space="preserve">megkötött külön megállapodások lényeges tartalmáról szóló tájékoztatást, illetve a nyilvánosságra hozatalt az Egyetem az üzleti titokra hivatkozással sem tagadhatja meg </w:t>
      </w:r>
      <w:r w:rsidRPr="0036598F">
        <w:rPr>
          <w:rFonts w:cs="Arial"/>
        </w:rPr>
        <w:t>az információs önrendelkezési jogról és az információszabadságról szóló 2011. évi CXII. törvény 26. § (1) bekezdésében, 32. §-ban és 33. § (1) bekezdésében, valamint 1. melléklete III. 4. pontjában</w:t>
      </w:r>
      <w:r w:rsidRPr="00070A80">
        <w:rPr>
          <w:rFonts w:cs="Arial"/>
        </w:rPr>
        <w:t xml:space="preserve"> írtak alapján.</w:t>
      </w:r>
    </w:p>
    <w:p w:rsidR="003F2346" w:rsidRDefault="003F2346" w:rsidP="00411100">
      <w:pPr>
        <w:pStyle w:val="ListParagraph"/>
        <w:ind w:left="1260" w:hanging="720"/>
        <w:jc w:val="both"/>
        <w:rPr>
          <w:rFonts w:cs="Arial"/>
        </w:rPr>
      </w:pPr>
    </w:p>
    <w:p w:rsidR="003F2346" w:rsidRDefault="003F2346" w:rsidP="00411100">
      <w:pPr>
        <w:ind w:left="1260" w:hanging="720"/>
        <w:jc w:val="both"/>
        <w:rPr>
          <w:rFonts w:cs="Arial"/>
        </w:rPr>
      </w:pPr>
      <w:r>
        <w:rPr>
          <w:rFonts w:cs="Arial"/>
        </w:rPr>
        <w:t>6</w:t>
      </w:r>
      <w:r w:rsidRPr="00070A80">
        <w:rPr>
          <w:rFonts w:cs="Arial"/>
        </w:rPr>
        <w:t>.3.6.</w:t>
      </w:r>
      <w:r w:rsidRPr="00070A80">
        <w:rPr>
          <w:rFonts w:cs="Arial"/>
        </w:rPr>
        <w:tab/>
        <w:t xml:space="preserve">A </w:t>
      </w:r>
      <w:r>
        <w:rPr>
          <w:rFonts w:cs="Arial"/>
        </w:rPr>
        <w:t>Szerződő f</w:t>
      </w:r>
      <w:r w:rsidRPr="00070A80">
        <w:rPr>
          <w:rFonts w:cs="Arial"/>
        </w:rPr>
        <w:t xml:space="preserve">elek felelősséggel tartoznak minden olyan kárért, amely a </w:t>
      </w:r>
      <w:r>
        <w:rPr>
          <w:rFonts w:cs="Arial"/>
        </w:rPr>
        <w:t>6</w:t>
      </w:r>
      <w:r w:rsidRPr="00070A80">
        <w:rPr>
          <w:rFonts w:cs="Arial"/>
        </w:rPr>
        <w:t>.3. pontban körülírt adatkezelési, titoktartási kötelezettségük megszegéséből származik.</w:t>
      </w:r>
    </w:p>
    <w:p w:rsidR="003F2346" w:rsidRDefault="003F2346" w:rsidP="00422613">
      <w:pPr>
        <w:ind w:left="1080" w:hanging="720"/>
        <w:jc w:val="both"/>
        <w:rPr>
          <w:rFonts w:cs="Arial"/>
        </w:rPr>
      </w:pPr>
    </w:p>
    <w:p w:rsidR="003F2346" w:rsidRDefault="003F2346" w:rsidP="00F70054">
      <w:pPr>
        <w:ind w:left="540" w:hanging="540"/>
        <w:jc w:val="both"/>
        <w:rPr>
          <w:rFonts w:cs="Arial"/>
        </w:rPr>
      </w:pPr>
      <w:r>
        <w:rPr>
          <w:rFonts w:cs="Arial"/>
        </w:rPr>
        <w:t>6.4.</w:t>
      </w:r>
      <w:r>
        <w:rPr>
          <w:rFonts w:cs="Arial"/>
        </w:rPr>
        <w:tab/>
      </w:r>
      <w:r w:rsidRPr="00381613">
        <w:rPr>
          <w:rFonts w:cs="Arial"/>
        </w:rPr>
        <w:t xml:space="preserve">Jelen megállapodásban nem szabályozott kérdésekben a Ptk. és az egyéb hatályos jogszabályok rendelkezései az irányadók. </w:t>
      </w:r>
    </w:p>
    <w:p w:rsidR="003F2346" w:rsidRDefault="003F2346" w:rsidP="00422613">
      <w:pPr>
        <w:ind w:left="1080" w:hanging="720"/>
        <w:jc w:val="both"/>
        <w:rPr>
          <w:rFonts w:cs="Arial"/>
        </w:rPr>
      </w:pPr>
    </w:p>
    <w:p w:rsidR="003F2346" w:rsidRDefault="003F2346" w:rsidP="00F70054">
      <w:pPr>
        <w:ind w:left="540" w:hanging="540"/>
        <w:jc w:val="both"/>
        <w:rPr>
          <w:rFonts w:cs="Arial"/>
        </w:rPr>
      </w:pPr>
      <w:r>
        <w:rPr>
          <w:rFonts w:cs="Arial"/>
        </w:rPr>
        <w:t xml:space="preserve">6.5. </w:t>
      </w:r>
      <w:r w:rsidRPr="00381613">
        <w:rPr>
          <w:rFonts w:cs="Arial"/>
        </w:rPr>
        <w:t>Szerződő felek a megállapodást egybehangzóan értelmezték, és mint akaratukkal mindenben egyezőt, jóváhagyólag írták alá.</w:t>
      </w:r>
    </w:p>
    <w:p w:rsidR="003F2346" w:rsidRPr="00D77D17" w:rsidRDefault="003F2346" w:rsidP="00422613">
      <w:pPr>
        <w:ind w:left="1080" w:hanging="720"/>
        <w:jc w:val="both"/>
        <w:rPr>
          <w:rFonts w:cs="Arial"/>
        </w:rPr>
      </w:pPr>
    </w:p>
    <w:p w:rsidR="003F2346" w:rsidRDefault="003F2346" w:rsidP="00F70054">
      <w:pPr>
        <w:ind w:left="540" w:hanging="540"/>
        <w:jc w:val="both"/>
        <w:rPr>
          <w:rFonts w:cs="Arial"/>
        </w:rPr>
      </w:pPr>
      <w:r>
        <w:rPr>
          <w:rFonts w:cs="Arial"/>
        </w:rPr>
        <w:t xml:space="preserve">6.6.  </w:t>
      </w:r>
      <w:r w:rsidRPr="00381613">
        <w:rPr>
          <w:rFonts w:cs="Arial"/>
        </w:rPr>
        <w:t xml:space="preserve">Jelen megállapodás 4 példányban készült és </w:t>
      </w:r>
      <w:r>
        <w:rPr>
          <w:rFonts w:cs="Arial"/>
        </w:rPr>
        <w:t>6</w:t>
      </w:r>
      <w:r w:rsidRPr="00381613">
        <w:rPr>
          <w:rFonts w:cs="Arial"/>
        </w:rPr>
        <w:t xml:space="preserve"> számozott oldalt tartalmaz.</w:t>
      </w:r>
    </w:p>
    <w:p w:rsidR="003F2346" w:rsidRDefault="003F2346" w:rsidP="00641C6B">
      <w:pPr>
        <w:ind w:left="900" w:hanging="900"/>
        <w:jc w:val="both"/>
        <w:rPr>
          <w:rFonts w:cs="Arial"/>
        </w:rPr>
      </w:pPr>
    </w:p>
    <w:p w:rsidR="003F2346" w:rsidRPr="00D77D17" w:rsidRDefault="003F2346" w:rsidP="00285DE5">
      <w:pPr>
        <w:suppressAutoHyphens/>
        <w:overflowPunct w:val="0"/>
        <w:autoSpaceDE w:val="0"/>
        <w:autoSpaceDN w:val="0"/>
        <w:adjustRightInd w:val="0"/>
        <w:ind w:hanging="900"/>
        <w:jc w:val="both"/>
        <w:textAlignment w:val="baseline"/>
        <w:rPr>
          <w:rFonts w:cs="Arial"/>
        </w:rPr>
      </w:pPr>
    </w:p>
    <w:p w:rsidR="003F2346" w:rsidRDefault="003F2346" w:rsidP="00641C6B">
      <w:pPr>
        <w:ind w:left="900" w:hanging="900"/>
        <w:jc w:val="both"/>
        <w:rPr>
          <w:rFonts w:cs="Arial"/>
          <w:b/>
        </w:rPr>
      </w:pPr>
      <w:r w:rsidRPr="00D77D17">
        <w:rPr>
          <w:rFonts w:cs="Arial"/>
          <w:b/>
        </w:rPr>
        <w:t xml:space="preserve">Szombathely, 2013.  </w:t>
      </w:r>
    </w:p>
    <w:p w:rsidR="003F2346" w:rsidRPr="00D77D17" w:rsidRDefault="003F2346" w:rsidP="00D77D17">
      <w:pPr>
        <w:suppressAutoHyphens/>
        <w:overflowPunct w:val="0"/>
        <w:autoSpaceDE w:val="0"/>
        <w:autoSpaceDN w:val="0"/>
        <w:adjustRightInd w:val="0"/>
        <w:jc w:val="both"/>
        <w:textAlignment w:val="baseline"/>
        <w:rPr>
          <w:rFonts w:cs="Arial"/>
        </w:rPr>
      </w:pPr>
      <w:bookmarkStart w:id="0" w:name="_GoBack"/>
      <w:bookmarkEnd w:id="0"/>
    </w:p>
    <w:p w:rsidR="003F2346" w:rsidRDefault="003F2346" w:rsidP="00D77D17">
      <w:pPr>
        <w:suppressAutoHyphens/>
        <w:overflowPunct w:val="0"/>
        <w:autoSpaceDE w:val="0"/>
        <w:autoSpaceDN w:val="0"/>
        <w:adjustRightInd w:val="0"/>
        <w:jc w:val="both"/>
        <w:textAlignment w:val="baseline"/>
        <w:rPr>
          <w:rFonts w:cs="Arial"/>
        </w:rPr>
      </w:pPr>
    </w:p>
    <w:p w:rsidR="003F2346" w:rsidRDefault="003F2346" w:rsidP="00D77D17">
      <w:pPr>
        <w:suppressAutoHyphens/>
        <w:overflowPunct w:val="0"/>
        <w:autoSpaceDE w:val="0"/>
        <w:autoSpaceDN w:val="0"/>
        <w:adjustRightInd w:val="0"/>
        <w:jc w:val="both"/>
        <w:textAlignment w:val="baseline"/>
        <w:rPr>
          <w:rFonts w:cs="Arial"/>
        </w:rPr>
      </w:pPr>
    </w:p>
    <w:p w:rsidR="003F2346" w:rsidRDefault="003F2346" w:rsidP="00D77D17">
      <w:pPr>
        <w:suppressAutoHyphens/>
        <w:overflowPunct w:val="0"/>
        <w:autoSpaceDE w:val="0"/>
        <w:autoSpaceDN w:val="0"/>
        <w:adjustRightInd w:val="0"/>
        <w:jc w:val="both"/>
        <w:textAlignment w:val="baseline"/>
        <w:rPr>
          <w:rFonts w:cs="Arial"/>
        </w:rPr>
      </w:pPr>
    </w:p>
    <w:p w:rsidR="003F2346" w:rsidRPr="00D77D17" w:rsidRDefault="003F2346" w:rsidP="00D77D17">
      <w:pPr>
        <w:suppressAutoHyphens/>
        <w:overflowPunct w:val="0"/>
        <w:autoSpaceDE w:val="0"/>
        <w:autoSpaceDN w:val="0"/>
        <w:adjustRightInd w:val="0"/>
        <w:jc w:val="both"/>
        <w:textAlignment w:val="baseline"/>
        <w:rPr>
          <w:rFonts w:cs="Arial"/>
        </w:rPr>
      </w:pPr>
    </w:p>
    <w:tbl>
      <w:tblPr>
        <w:tblW w:w="8280" w:type="dxa"/>
        <w:tblInd w:w="540" w:type="dxa"/>
        <w:tblLayout w:type="fixed"/>
        <w:tblCellMar>
          <w:left w:w="0" w:type="dxa"/>
          <w:right w:w="0" w:type="dxa"/>
        </w:tblCellMar>
        <w:tblLook w:val="0000"/>
      </w:tblPr>
      <w:tblGrid>
        <w:gridCol w:w="3619"/>
        <w:gridCol w:w="4661"/>
      </w:tblGrid>
      <w:tr w:rsidR="003F2346" w:rsidRPr="00444720" w:rsidTr="008236FA">
        <w:tc>
          <w:tcPr>
            <w:tcW w:w="3619" w:type="dxa"/>
          </w:tcPr>
          <w:p w:rsidR="003F2346" w:rsidRPr="00444720" w:rsidRDefault="003F2346" w:rsidP="00334D8F">
            <w:pPr>
              <w:suppressAutoHyphens/>
              <w:overflowPunct w:val="0"/>
              <w:autoSpaceDE w:val="0"/>
              <w:autoSpaceDN w:val="0"/>
              <w:adjustRightInd w:val="0"/>
              <w:ind w:left="-520"/>
              <w:jc w:val="center"/>
              <w:textAlignment w:val="baseline"/>
              <w:rPr>
                <w:rFonts w:cs="Arial"/>
                <w:b/>
              </w:rPr>
            </w:pPr>
            <w:r w:rsidRPr="00444720">
              <w:rPr>
                <w:rFonts w:cs="Arial"/>
                <w:b/>
              </w:rPr>
              <w:t>………………………………….</w:t>
            </w:r>
          </w:p>
          <w:p w:rsidR="003F2346" w:rsidRPr="00444720" w:rsidRDefault="003F2346" w:rsidP="00D77D17">
            <w:pPr>
              <w:suppressAutoHyphens/>
              <w:overflowPunct w:val="0"/>
              <w:autoSpaceDE w:val="0"/>
              <w:autoSpaceDN w:val="0"/>
              <w:adjustRightInd w:val="0"/>
              <w:jc w:val="center"/>
              <w:textAlignment w:val="baseline"/>
              <w:rPr>
                <w:rFonts w:cs="Arial"/>
                <w:b/>
              </w:rPr>
            </w:pPr>
            <w:r w:rsidRPr="00444720">
              <w:rPr>
                <w:rFonts w:cs="Arial"/>
                <w:b/>
              </w:rPr>
              <w:t>Dr. Puskás Tivadar</w:t>
            </w:r>
          </w:p>
        </w:tc>
        <w:tc>
          <w:tcPr>
            <w:tcW w:w="4661" w:type="dxa"/>
          </w:tcPr>
          <w:p w:rsidR="003F2346" w:rsidRPr="00444720" w:rsidRDefault="003F2346" w:rsidP="00D77D17">
            <w:pPr>
              <w:suppressAutoHyphens/>
              <w:overflowPunct w:val="0"/>
              <w:autoSpaceDE w:val="0"/>
              <w:autoSpaceDN w:val="0"/>
              <w:adjustRightInd w:val="0"/>
              <w:jc w:val="center"/>
              <w:textAlignment w:val="baseline"/>
              <w:rPr>
                <w:rFonts w:cs="Arial"/>
                <w:b/>
              </w:rPr>
            </w:pPr>
            <w:r>
              <w:rPr>
                <w:rFonts w:cs="Arial"/>
                <w:b/>
              </w:rPr>
              <w:t xml:space="preserve">       </w:t>
            </w:r>
            <w:r w:rsidRPr="00444720">
              <w:rPr>
                <w:rFonts w:cs="Arial"/>
                <w:b/>
              </w:rPr>
              <w:t>………………………………</w:t>
            </w:r>
          </w:p>
          <w:p w:rsidR="003F2346" w:rsidRPr="00444720" w:rsidRDefault="003F2346" w:rsidP="00E871A8">
            <w:pPr>
              <w:suppressAutoHyphens/>
              <w:overflowPunct w:val="0"/>
              <w:autoSpaceDE w:val="0"/>
              <w:autoSpaceDN w:val="0"/>
              <w:adjustRightInd w:val="0"/>
              <w:jc w:val="center"/>
              <w:textAlignment w:val="baseline"/>
              <w:rPr>
                <w:rFonts w:cs="Arial"/>
                <w:b/>
              </w:rPr>
            </w:pPr>
            <w:r>
              <w:rPr>
                <w:rFonts w:cs="Arial"/>
                <w:b/>
              </w:rPr>
              <w:t xml:space="preserve">    </w:t>
            </w:r>
            <w:r w:rsidRPr="00444720">
              <w:rPr>
                <w:rFonts w:cs="Arial"/>
                <w:b/>
              </w:rPr>
              <w:t>Dr Mezey Barna</w:t>
            </w:r>
          </w:p>
        </w:tc>
      </w:tr>
      <w:tr w:rsidR="003F2346" w:rsidRPr="00444720" w:rsidTr="008236FA">
        <w:tc>
          <w:tcPr>
            <w:tcW w:w="3619" w:type="dxa"/>
          </w:tcPr>
          <w:p w:rsidR="003F2346" w:rsidRPr="00444720" w:rsidRDefault="003F2346" w:rsidP="00D77D17">
            <w:pPr>
              <w:suppressAutoHyphens/>
              <w:overflowPunct w:val="0"/>
              <w:autoSpaceDE w:val="0"/>
              <w:autoSpaceDN w:val="0"/>
              <w:adjustRightInd w:val="0"/>
              <w:jc w:val="center"/>
              <w:textAlignment w:val="baseline"/>
              <w:rPr>
                <w:rFonts w:cs="Arial"/>
                <w:b/>
              </w:rPr>
            </w:pPr>
            <w:r w:rsidRPr="00444720">
              <w:rPr>
                <w:rFonts w:cs="Arial"/>
                <w:b/>
              </w:rPr>
              <w:t>Szombathely Megyei Jogú Város polgármestere</w:t>
            </w:r>
          </w:p>
        </w:tc>
        <w:tc>
          <w:tcPr>
            <w:tcW w:w="4661" w:type="dxa"/>
          </w:tcPr>
          <w:p w:rsidR="003F2346" w:rsidRPr="00444720" w:rsidRDefault="003F2346" w:rsidP="00D77D17">
            <w:pPr>
              <w:suppressAutoHyphens/>
              <w:overflowPunct w:val="0"/>
              <w:autoSpaceDE w:val="0"/>
              <w:autoSpaceDN w:val="0"/>
              <w:adjustRightInd w:val="0"/>
              <w:jc w:val="center"/>
              <w:textAlignment w:val="baseline"/>
              <w:rPr>
                <w:rFonts w:cs="Arial"/>
                <w:b/>
              </w:rPr>
            </w:pPr>
            <w:r>
              <w:rPr>
                <w:rFonts w:cs="Arial"/>
                <w:b/>
              </w:rPr>
              <w:t xml:space="preserve">    </w:t>
            </w:r>
            <w:r w:rsidRPr="00444720">
              <w:rPr>
                <w:rFonts w:cs="Arial"/>
                <w:b/>
              </w:rPr>
              <w:t>Eötvös Loránd Tudományegyetem</w:t>
            </w:r>
          </w:p>
          <w:p w:rsidR="003F2346" w:rsidRPr="00444720" w:rsidRDefault="003F2346" w:rsidP="00D77D17">
            <w:pPr>
              <w:suppressAutoHyphens/>
              <w:overflowPunct w:val="0"/>
              <w:autoSpaceDE w:val="0"/>
              <w:autoSpaceDN w:val="0"/>
              <w:adjustRightInd w:val="0"/>
              <w:jc w:val="center"/>
              <w:textAlignment w:val="baseline"/>
              <w:rPr>
                <w:rFonts w:cs="Arial"/>
                <w:b/>
              </w:rPr>
            </w:pPr>
            <w:r w:rsidRPr="00444720">
              <w:rPr>
                <w:rFonts w:cs="Arial"/>
                <w:b/>
              </w:rPr>
              <w:t>rektora</w:t>
            </w:r>
          </w:p>
        </w:tc>
      </w:tr>
      <w:tr w:rsidR="003F2346" w:rsidRPr="00444720" w:rsidTr="008236FA">
        <w:tc>
          <w:tcPr>
            <w:tcW w:w="3619" w:type="dxa"/>
          </w:tcPr>
          <w:p w:rsidR="003F2346" w:rsidRPr="00444720" w:rsidRDefault="003F2346" w:rsidP="00D77D17">
            <w:pPr>
              <w:suppressAutoHyphens/>
              <w:overflowPunct w:val="0"/>
              <w:autoSpaceDE w:val="0"/>
              <w:autoSpaceDN w:val="0"/>
              <w:adjustRightInd w:val="0"/>
              <w:jc w:val="center"/>
              <w:textAlignment w:val="baseline"/>
              <w:rPr>
                <w:rFonts w:cs="Arial"/>
                <w:b/>
                <w:sz w:val="48"/>
                <w:szCs w:val="48"/>
              </w:rPr>
            </w:pPr>
          </w:p>
          <w:p w:rsidR="003F2346" w:rsidRPr="00444720" w:rsidRDefault="003F2346" w:rsidP="00D77D17">
            <w:pPr>
              <w:suppressAutoHyphens/>
              <w:overflowPunct w:val="0"/>
              <w:autoSpaceDE w:val="0"/>
              <w:autoSpaceDN w:val="0"/>
              <w:adjustRightInd w:val="0"/>
              <w:jc w:val="center"/>
              <w:textAlignment w:val="baseline"/>
              <w:rPr>
                <w:rFonts w:cs="Arial"/>
                <w:b/>
                <w:sz w:val="48"/>
                <w:szCs w:val="48"/>
              </w:rPr>
            </w:pPr>
          </w:p>
        </w:tc>
        <w:tc>
          <w:tcPr>
            <w:tcW w:w="4661" w:type="dxa"/>
          </w:tcPr>
          <w:p w:rsidR="003F2346" w:rsidRPr="00444720" w:rsidRDefault="003F2346" w:rsidP="00D77D17">
            <w:pPr>
              <w:suppressAutoHyphens/>
              <w:overflowPunct w:val="0"/>
              <w:autoSpaceDE w:val="0"/>
              <w:autoSpaceDN w:val="0"/>
              <w:adjustRightInd w:val="0"/>
              <w:jc w:val="center"/>
              <w:textAlignment w:val="baseline"/>
              <w:rPr>
                <w:rFonts w:cs="Arial"/>
                <w:b/>
                <w:sz w:val="48"/>
                <w:szCs w:val="48"/>
              </w:rPr>
            </w:pPr>
          </w:p>
        </w:tc>
      </w:tr>
      <w:tr w:rsidR="003F2346" w:rsidRPr="00444720" w:rsidTr="008236FA">
        <w:tc>
          <w:tcPr>
            <w:tcW w:w="8280" w:type="dxa"/>
            <w:gridSpan w:val="2"/>
          </w:tcPr>
          <w:p w:rsidR="003F2346" w:rsidRPr="00444720" w:rsidRDefault="003F2346" w:rsidP="00166C47">
            <w:pPr>
              <w:suppressAutoHyphens/>
              <w:overflowPunct w:val="0"/>
              <w:autoSpaceDE w:val="0"/>
              <w:autoSpaceDN w:val="0"/>
              <w:adjustRightInd w:val="0"/>
              <w:jc w:val="center"/>
              <w:textAlignment w:val="baseline"/>
              <w:rPr>
                <w:rFonts w:cs="Arial"/>
                <w:b/>
              </w:rPr>
            </w:pPr>
            <w:r w:rsidRPr="00444720">
              <w:rPr>
                <w:rFonts w:cs="Arial"/>
                <w:b/>
              </w:rPr>
              <w:t>………………………………….</w:t>
            </w:r>
          </w:p>
          <w:p w:rsidR="003F2346" w:rsidRPr="00444720" w:rsidRDefault="003F2346" w:rsidP="00166C47">
            <w:pPr>
              <w:suppressAutoHyphens/>
              <w:overflowPunct w:val="0"/>
              <w:autoSpaceDE w:val="0"/>
              <w:autoSpaceDN w:val="0"/>
              <w:adjustRightInd w:val="0"/>
              <w:jc w:val="center"/>
              <w:textAlignment w:val="baseline"/>
              <w:rPr>
                <w:rFonts w:cs="Arial"/>
                <w:b/>
              </w:rPr>
            </w:pPr>
            <w:r w:rsidRPr="00444720">
              <w:rPr>
                <w:rFonts w:cs="Arial"/>
                <w:b/>
              </w:rPr>
              <w:t>Dr. Szabó M. Gyula</w:t>
            </w:r>
          </w:p>
        </w:tc>
      </w:tr>
      <w:tr w:rsidR="003F2346" w:rsidRPr="00444720" w:rsidTr="008236FA">
        <w:tc>
          <w:tcPr>
            <w:tcW w:w="8280" w:type="dxa"/>
            <w:gridSpan w:val="2"/>
          </w:tcPr>
          <w:p w:rsidR="003F2346" w:rsidRPr="00444720" w:rsidRDefault="003F2346" w:rsidP="00166C47">
            <w:pPr>
              <w:suppressAutoHyphens/>
              <w:overflowPunct w:val="0"/>
              <w:autoSpaceDE w:val="0"/>
              <w:autoSpaceDN w:val="0"/>
              <w:adjustRightInd w:val="0"/>
              <w:jc w:val="center"/>
              <w:textAlignment w:val="baseline"/>
              <w:rPr>
                <w:rFonts w:cs="Arial"/>
                <w:b/>
              </w:rPr>
            </w:pPr>
            <w:r w:rsidRPr="00444720">
              <w:rPr>
                <w:rFonts w:cs="Arial"/>
                <w:b/>
              </w:rPr>
              <w:t>ELTE Gothard Asztrofizikai Obszervatórium</w:t>
            </w:r>
          </w:p>
          <w:p w:rsidR="003F2346" w:rsidRPr="00444720" w:rsidRDefault="003F2346" w:rsidP="00166C47">
            <w:pPr>
              <w:suppressAutoHyphens/>
              <w:overflowPunct w:val="0"/>
              <w:autoSpaceDE w:val="0"/>
              <w:autoSpaceDN w:val="0"/>
              <w:adjustRightInd w:val="0"/>
              <w:jc w:val="center"/>
              <w:textAlignment w:val="baseline"/>
              <w:rPr>
                <w:rFonts w:cs="Arial"/>
                <w:b/>
              </w:rPr>
            </w:pPr>
            <w:r w:rsidRPr="00444720">
              <w:rPr>
                <w:rFonts w:cs="Arial"/>
                <w:b/>
              </w:rPr>
              <w:t>és Multidiszciplináris Kutatóközpont</w:t>
            </w:r>
          </w:p>
          <w:p w:rsidR="003F2346" w:rsidRPr="00444720" w:rsidRDefault="003F2346" w:rsidP="00166C47">
            <w:pPr>
              <w:suppressAutoHyphens/>
              <w:overflowPunct w:val="0"/>
              <w:autoSpaceDE w:val="0"/>
              <w:autoSpaceDN w:val="0"/>
              <w:adjustRightInd w:val="0"/>
              <w:jc w:val="center"/>
              <w:textAlignment w:val="baseline"/>
              <w:rPr>
                <w:rFonts w:cs="Arial"/>
                <w:b/>
              </w:rPr>
            </w:pPr>
            <w:r w:rsidRPr="00444720">
              <w:rPr>
                <w:rFonts w:cs="Arial"/>
                <w:b/>
              </w:rPr>
              <w:t>igazgatója</w:t>
            </w:r>
          </w:p>
        </w:tc>
      </w:tr>
    </w:tbl>
    <w:p w:rsidR="003F2346" w:rsidRPr="00444720" w:rsidRDefault="003F2346" w:rsidP="00D77D17">
      <w:pPr>
        <w:suppressAutoHyphens/>
        <w:overflowPunct w:val="0"/>
        <w:autoSpaceDE w:val="0"/>
        <w:autoSpaceDN w:val="0"/>
        <w:adjustRightInd w:val="0"/>
        <w:jc w:val="both"/>
        <w:textAlignment w:val="baseline"/>
        <w:rPr>
          <w:rFonts w:cs="Arial"/>
          <w:b/>
          <w:u w:val="single"/>
        </w:rPr>
      </w:pPr>
    </w:p>
    <w:p w:rsidR="003F2346" w:rsidRPr="00444720" w:rsidRDefault="003F2346" w:rsidP="00D77D17">
      <w:pPr>
        <w:suppressAutoHyphens/>
        <w:overflowPunct w:val="0"/>
        <w:autoSpaceDE w:val="0"/>
        <w:autoSpaceDN w:val="0"/>
        <w:adjustRightInd w:val="0"/>
        <w:jc w:val="both"/>
        <w:textAlignment w:val="baseline"/>
        <w:rPr>
          <w:rFonts w:cs="Arial"/>
          <w:b/>
          <w:u w:val="single"/>
        </w:rPr>
      </w:pPr>
    </w:p>
    <w:p w:rsidR="003F2346" w:rsidRDefault="003F2346" w:rsidP="00D77D17">
      <w:pPr>
        <w:suppressAutoHyphens/>
        <w:overflowPunct w:val="0"/>
        <w:autoSpaceDE w:val="0"/>
        <w:autoSpaceDN w:val="0"/>
        <w:adjustRightInd w:val="0"/>
        <w:jc w:val="both"/>
        <w:textAlignment w:val="baseline"/>
        <w:rPr>
          <w:rFonts w:cs="Arial"/>
          <w:u w:val="single"/>
        </w:rPr>
      </w:pPr>
    </w:p>
    <w:p w:rsidR="003F2346" w:rsidRDefault="003F2346" w:rsidP="00D77D17">
      <w:pPr>
        <w:suppressAutoHyphens/>
        <w:overflowPunct w:val="0"/>
        <w:autoSpaceDE w:val="0"/>
        <w:autoSpaceDN w:val="0"/>
        <w:adjustRightInd w:val="0"/>
        <w:jc w:val="both"/>
        <w:textAlignment w:val="baseline"/>
        <w:rPr>
          <w:rFonts w:cs="Arial"/>
          <w:u w:val="single"/>
        </w:rPr>
      </w:pPr>
    </w:p>
    <w:p w:rsidR="003F2346" w:rsidRPr="00D77D17" w:rsidRDefault="003F2346" w:rsidP="00D77D17">
      <w:pPr>
        <w:suppressAutoHyphens/>
        <w:overflowPunct w:val="0"/>
        <w:autoSpaceDE w:val="0"/>
        <w:autoSpaceDN w:val="0"/>
        <w:adjustRightInd w:val="0"/>
        <w:jc w:val="both"/>
        <w:textAlignment w:val="baseline"/>
        <w:rPr>
          <w:rFonts w:cs="Arial"/>
          <w:u w:val="single"/>
        </w:rPr>
      </w:pPr>
      <w:r w:rsidRPr="00D77D17">
        <w:rPr>
          <w:rFonts w:cs="Arial"/>
          <w:u w:val="single"/>
        </w:rPr>
        <w:t>Záradék:</w:t>
      </w:r>
    </w:p>
    <w:p w:rsidR="003F2346" w:rsidRDefault="003F2346" w:rsidP="00641C6B">
      <w:pPr>
        <w:suppressAutoHyphens/>
        <w:overflowPunct w:val="0"/>
        <w:autoSpaceDE w:val="0"/>
        <w:autoSpaceDN w:val="0"/>
        <w:adjustRightInd w:val="0"/>
        <w:jc w:val="both"/>
        <w:textAlignment w:val="baseline"/>
        <w:rPr>
          <w:bCs/>
          <w:iCs/>
        </w:rPr>
      </w:pPr>
      <w:r w:rsidRPr="00D77D17">
        <w:rPr>
          <w:rFonts w:cs="Arial"/>
          <w:szCs w:val="20"/>
        </w:rPr>
        <w:t>Jelen együttműködési megállapodást Szombathely Megyei Jogú Város Közgyűlése a</w:t>
      </w:r>
      <w:r>
        <w:rPr>
          <w:rFonts w:cs="Arial"/>
          <w:szCs w:val="20"/>
        </w:rPr>
        <w:t xml:space="preserve"> …/2013. (IX.26.)</w:t>
      </w:r>
      <w:r w:rsidRPr="00D77D17">
        <w:rPr>
          <w:rFonts w:cs="Arial"/>
          <w:szCs w:val="20"/>
        </w:rPr>
        <w:t xml:space="preserve"> Kgy. számú határozatával hagyta jóvá.</w:t>
      </w:r>
    </w:p>
    <w:sectPr w:rsidR="003F2346" w:rsidSect="00641C6B">
      <w:headerReference w:type="default" r:id="rId7"/>
      <w:footerReference w:type="default" r:id="rId8"/>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346" w:rsidRDefault="003F2346" w:rsidP="00E36215">
      <w:r>
        <w:separator/>
      </w:r>
    </w:p>
  </w:endnote>
  <w:endnote w:type="continuationSeparator" w:id="1">
    <w:p w:rsidR="003F2346" w:rsidRDefault="003F2346" w:rsidP="00E36215">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46" w:rsidRDefault="003F2346">
    <w:pPr>
      <w:pStyle w:val="Footer"/>
      <w:jc w:val="center"/>
    </w:pPr>
    <w:fldSimple w:instr="PAGE   \* MERGEFORMAT">
      <w:r>
        <w:rPr>
          <w:noProof/>
        </w:rPr>
        <w:t>6</w:t>
      </w:r>
    </w:fldSimple>
  </w:p>
  <w:p w:rsidR="003F2346" w:rsidRDefault="003F2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346" w:rsidRDefault="003F2346" w:rsidP="00E36215">
      <w:r>
        <w:separator/>
      </w:r>
    </w:p>
  </w:footnote>
  <w:footnote w:type="continuationSeparator" w:id="1">
    <w:p w:rsidR="003F2346" w:rsidRDefault="003F2346" w:rsidP="00E36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46" w:rsidRPr="00E33372" w:rsidRDefault="003F2346" w:rsidP="00E33372">
    <w:pPr>
      <w:pStyle w:val="Header"/>
      <w:jc w:val="right"/>
      <w:rPr>
        <w:b/>
      </w:rPr>
    </w:pPr>
    <w:r>
      <w:rPr>
        <w:b/>
      </w:rPr>
      <w:t>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
      <w:legacy w:legacy="1" w:legacySpace="0" w:legacyIndent="0"/>
      <w:lvlJc w:val="left"/>
      <w:rPr>
        <w:rFonts w:ascii="Tms Rmn" w:hAnsi="Tms Rmn" w:cs="Times New Roman" w:hint="default"/>
      </w:rPr>
    </w:lvl>
    <w:lvl w:ilvl="1">
      <w:start w:val="1"/>
      <w:numFmt w:val="decimal"/>
      <w:pStyle w:val="Heading2"/>
      <w:lvlText w:val="(%2)"/>
      <w:legacy w:legacy="1" w:legacySpace="0" w:legacyIndent="454"/>
      <w:lvlJc w:val="left"/>
      <w:pPr>
        <w:ind w:left="454" w:hanging="454"/>
      </w:pPr>
      <w:rPr>
        <w:rFonts w:ascii="Tms Rmn" w:hAnsi="Tms Rmn" w:cs="Times New Roman" w:hint="default"/>
      </w:rPr>
    </w:lvl>
    <w:lvl w:ilvl="2">
      <w:start w:val="1"/>
      <w:numFmt w:val="lowerLetter"/>
      <w:pStyle w:val="Heading3"/>
      <w:lvlText w:val="%3)"/>
      <w:legacy w:legacy="1" w:legacySpace="0" w:legacyIndent="454"/>
      <w:lvlJc w:val="left"/>
      <w:pPr>
        <w:ind w:left="908" w:hanging="454"/>
      </w:pPr>
      <w:rPr>
        <w:rFonts w:ascii="Tms Rmn" w:hAnsi="Tms Rmn" w:cs="Times New Roman" w:hint="default"/>
      </w:rPr>
    </w:lvl>
    <w:lvl w:ilvl="3">
      <w:numFmt w:val="none"/>
      <w:lvlText w:val=""/>
      <w:lvlJc w:val="left"/>
      <w:rPr>
        <w:rFonts w:cs="Times New Roman"/>
      </w:rPr>
    </w:lvl>
    <w:lvl w:ilvl="4">
      <w:start w:val="1"/>
      <w:numFmt w:val="decimal"/>
      <w:pStyle w:val="Heading5"/>
      <w:lvlText w:val="(%5)"/>
      <w:legacy w:legacy="1" w:legacySpace="0" w:legacyIndent="708"/>
      <w:lvlJc w:val="left"/>
      <w:pPr>
        <w:ind w:left="1616" w:hanging="708"/>
      </w:pPr>
      <w:rPr>
        <w:rFonts w:cs="Times New Roman"/>
      </w:rPr>
    </w:lvl>
    <w:lvl w:ilvl="5">
      <w:start w:val="1"/>
      <w:numFmt w:val="lowerLetter"/>
      <w:pStyle w:val="Heading6"/>
      <w:lvlText w:val="(%6)"/>
      <w:legacy w:legacy="1" w:legacySpace="0" w:legacyIndent="708"/>
      <w:lvlJc w:val="left"/>
      <w:pPr>
        <w:ind w:left="2324" w:hanging="708"/>
      </w:pPr>
      <w:rPr>
        <w:rFonts w:cs="Times New Roman"/>
      </w:rPr>
    </w:lvl>
    <w:lvl w:ilvl="6">
      <w:start w:val="1"/>
      <w:numFmt w:val="lowerRoman"/>
      <w:pStyle w:val="Heading7"/>
      <w:lvlText w:val="(%7)"/>
      <w:legacy w:legacy="1" w:legacySpace="0" w:legacyIndent="708"/>
      <w:lvlJc w:val="left"/>
      <w:pPr>
        <w:ind w:left="3032" w:hanging="708"/>
      </w:pPr>
      <w:rPr>
        <w:rFonts w:cs="Times New Roman"/>
      </w:rPr>
    </w:lvl>
    <w:lvl w:ilvl="7">
      <w:start w:val="1"/>
      <w:numFmt w:val="lowerLetter"/>
      <w:pStyle w:val="Heading8"/>
      <w:lvlText w:val="(%8)"/>
      <w:legacy w:legacy="1" w:legacySpace="0" w:legacyIndent="708"/>
      <w:lvlJc w:val="left"/>
      <w:pPr>
        <w:ind w:left="3740" w:hanging="708"/>
      </w:pPr>
      <w:rPr>
        <w:rFonts w:cs="Times New Roman"/>
      </w:rPr>
    </w:lvl>
    <w:lvl w:ilvl="8">
      <w:start w:val="1"/>
      <w:numFmt w:val="lowerRoman"/>
      <w:pStyle w:val="Heading9"/>
      <w:lvlText w:val="(%9)"/>
      <w:legacy w:legacy="1" w:legacySpace="0" w:legacyIndent="708"/>
      <w:lvlJc w:val="left"/>
      <w:pPr>
        <w:ind w:left="4448" w:hanging="708"/>
      </w:pPr>
      <w:rPr>
        <w:rFonts w:cs="Times New Roman"/>
      </w:rPr>
    </w:lvl>
  </w:abstractNum>
  <w:abstractNum w:abstractNumId="1">
    <w:nsid w:val="2D775BC5"/>
    <w:multiLevelType w:val="multilevel"/>
    <w:tmpl w:val="D02A860A"/>
    <w:lvl w:ilvl="0">
      <w:start w:val="1"/>
      <w:numFmt w:val="none"/>
      <w:lvlText w:val="5.1."/>
      <w:lvlJc w:val="left"/>
      <w:pPr>
        <w:ind w:left="1080" w:hanging="720"/>
      </w:pPr>
      <w:rPr>
        <w:rFonts w:cs="Times New Roman" w:hint="default"/>
      </w:rPr>
    </w:lvl>
    <w:lvl w:ilvl="1">
      <w:start w:val="1"/>
      <w:numFmt w:val="decimal"/>
      <w:isLgl/>
      <w:lvlText w:val="3.%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0DB0825"/>
    <w:multiLevelType w:val="multilevel"/>
    <w:tmpl w:val="B9F47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A644210"/>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426431CA"/>
    <w:multiLevelType w:val="multilevel"/>
    <w:tmpl w:val="3276658E"/>
    <w:lvl w:ilvl="0">
      <w:start w:val="1"/>
      <w:numFmt w:val="none"/>
      <w:lvlText w:val="5.4."/>
      <w:lvlJc w:val="left"/>
      <w:pPr>
        <w:ind w:left="1080" w:hanging="720"/>
      </w:pPr>
      <w:rPr>
        <w:rFonts w:cs="Times New Roman" w:hint="default"/>
      </w:rPr>
    </w:lvl>
    <w:lvl w:ilvl="1">
      <w:start w:val="1"/>
      <w:numFmt w:val="decimal"/>
      <w:isLgl/>
      <w:lvlText w:val="3.%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2A7509D"/>
    <w:multiLevelType w:val="multilevel"/>
    <w:tmpl w:val="A208B66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45173F1C"/>
    <w:multiLevelType w:val="multilevel"/>
    <w:tmpl w:val="1E72605A"/>
    <w:lvl w:ilvl="0">
      <w:start w:val="1"/>
      <w:numFmt w:val="none"/>
      <w:lvlText w:val="5.3."/>
      <w:lvlJc w:val="left"/>
      <w:pPr>
        <w:ind w:left="1080" w:hanging="720"/>
      </w:pPr>
      <w:rPr>
        <w:rFonts w:cs="Times New Roman" w:hint="default"/>
      </w:rPr>
    </w:lvl>
    <w:lvl w:ilvl="1">
      <w:start w:val="1"/>
      <w:numFmt w:val="decimal"/>
      <w:isLgl/>
      <w:lvlText w:val="3.%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06B70C4"/>
    <w:multiLevelType w:val="multilevel"/>
    <w:tmpl w:val="86ACFCFA"/>
    <w:lvl w:ilvl="0">
      <w:start w:val="1"/>
      <w:numFmt w:val="none"/>
      <w:lvlText w:val="5.2."/>
      <w:lvlJc w:val="left"/>
      <w:pPr>
        <w:ind w:left="1080" w:hanging="720"/>
      </w:pPr>
      <w:rPr>
        <w:rFonts w:cs="Times New Roman" w:hint="default"/>
      </w:rPr>
    </w:lvl>
    <w:lvl w:ilvl="1">
      <w:start w:val="1"/>
      <w:numFmt w:val="decimal"/>
      <w:isLgl/>
      <w:lvlText w:val="3.%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59F6047E"/>
    <w:multiLevelType w:val="multilevel"/>
    <w:tmpl w:val="E2F2D80E"/>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5"/>
  </w:num>
  <w:num w:numId="8">
    <w:abstractNumId w:val="2"/>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187"/>
    <w:rsid w:val="00012E76"/>
    <w:rsid w:val="00017DD7"/>
    <w:rsid w:val="0003254B"/>
    <w:rsid w:val="00066CEE"/>
    <w:rsid w:val="00070A80"/>
    <w:rsid w:val="00070F6C"/>
    <w:rsid w:val="000A3828"/>
    <w:rsid w:val="001103CF"/>
    <w:rsid w:val="0012628B"/>
    <w:rsid w:val="00166C47"/>
    <w:rsid w:val="00180560"/>
    <w:rsid w:val="001A0D7A"/>
    <w:rsid w:val="001A6123"/>
    <w:rsid w:val="001A65E6"/>
    <w:rsid w:val="001B2BF2"/>
    <w:rsid w:val="001D7E57"/>
    <w:rsid w:val="002524F0"/>
    <w:rsid w:val="002721DA"/>
    <w:rsid w:val="00280847"/>
    <w:rsid w:val="00285DE5"/>
    <w:rsid w:val="002B52FC"/>
    <w:rsid w:val="002B6671"/>
    <w:rsid w:val="002F4022"/>
    <w:rsid w:val="00325B4F"/>
    <w:rsid w:val="00326AD7"/>
    <w:rsid w:val="00332DB6"/>
    <w:rsid w:val="00332E1A"/>
    <w:rsid w:val="00334D8F"/>
    <w:rsid w:val="0034147D"/>
    <w:rsid w:val="00342736"/>
    <w:rsid w:val="00343672"/>
    <w:rsid w:val="00357437"/>
    <w:rsid w:val="0036170C"/>
    <w:rsid w:val="0036598F"/>
    <w:rsid w:val="00367098"/>
    <w:rsid w:val="00381613"/>
    <w:rsid w:val="003A5AF3"/>
    <w:rsid w:val="003A7A38"/>
    <w:rsid w:val="003B24A2"/>
    <w:rsid w:val="003E14BC"/>
    <w:rsid w:val="003F2346"/>
    <w:rsid w:val="003F7D1E"/>
    <w:rsid w:val="00411100"/>
    <w:rsid w:val="00413630"/>
    <w:rsid w:val="00422613"/>
    <w:rsid w:val="00444720"/>
    <w:rsid w:val="00453D1D"/>
    <w:rsid w:val="00464160"/>
    <w:rsid w:val="004B611E"/>
    <w:rsid w:val="004C1AC2"/>
    <w:rsid w:val="004C51F6"/>
    <w:rsid w:val="004E7D28"/>
    <w:rsid w:val="004F49B0"/>
    <w:rsid w:val="00562EE4"/>
    <w:rsid w:val="00570894"/>
    <w:rsid w:val="00583E0A"/>
    <w:rsid w:val="005B7264"/>
    <w:rsid w:val="005C265B"/>
    <w:rsid w:val="00604D50"/>
    <w:rsid w:val="00610487"/>
    <w:rsid w:val="006168FD"/>
    <w:rsid w:val="00621DBC"/>
    <w:rsid w:val="00641C6B"/>
    <w:rsid w:val="006508AB"/>
    <w:rsid w:val="0068675B"/>
    <w:rsid w:val="006A43C4"/>
    <w:rsid w:val="006B0390"/>
    <w:rsid w:val="006C2B15"/>
    <w:rsid w:val="007221ED"/>
    <w:rsid w:val="007727F4"/>
    <w:rsid w:val="00787B38"/>
    <w:rsid w:val="007940E5"/>
    <w:rsid w:val="00797A09"/>
    <w:rsid w:val="007B17BA"/>
    <w:rsid w:val="007C0B73"/>
    <w:rsid w:val="007E1957"/>
    <w:rsid w:val="00821ACA"/>
    <w:rsid w:val="008236FA"/>
    <w:rsid w:val="008463CA"/>
    <w:rsid w:val="00853C92"/>
    <w:rsid w:val="00862A73"/>
    <w:rsid w:val="008703D0"/>
    <w:rsid w:val="00876519"/>
    <w:rsid w:val="008C415E"/>
    <w:rsid w:val="008E634D"/>
    <w:rsid w:val="008F0367"/>
    <w:rsid w:val="008F798B"/>
    <w:rsid w:val="009019D5"/>
    <w:rsid w:val="00905FA3"/>
    <w:rsid w:val="00920B05"/>
    <w:rsid w:val="00964C34"/>
    <w:rsid w:val="009A1AF1"/>
    <w:rsid w:val="009A6D86"/>
    <w:rsid w:val="009D0130"/>
    <w:rsid w:val="009D1097"/>
    <w:rsid w:val="009E44ED"/>
    <w:rsid w:val="009F0310"/>
    <w:rsid w:val="00A126AD"/>
    <w:rsid w:val="00A336EF"/>
    <w:rsid w:val="00A635A4"/>
    <w:rsid w:val="00A9446E"/>
    <w:rsid w:val="00AC2AD4"/>
    <w:rsid w:val="00AE7148"/>
    <w:rsid w:val="00B42560"/>
    <w:rsid w:val="00B53F28"/>
    <w:rsid w:val="00BA0720"/>
    <w:rsid w:val="00BA7B35"/>
    <w:rsid w:val="00BC37B8"/>
    <w:rsid w:val="00BD13AC"/>
    <w:rsid w:val="00BD3034"/>
    <w:rsid w:val="00C04F52"/>
    <w:rsid w:val="00C22064"/>
    <w:rsid w:val="00C30E36"/>
    <w:rsid w:val="00C426BB"/>
    <w:rsid w:val="00C546E1"/>
    <w:rsid w:val="00C72A73"/>
    <w:rsid w:val="00C76DDD"/>
    <w:rsid w:val="00CC3AE5"/>
    <w:rsid w:val="00CD499A"/>
    <w:rsid w:val="00CD509B"/>
    <w:rsid w:val="00CE7737"/>
    <w:rsid w:val="00D07C4A"/>
    <w:rsid w:val="00D30486"/>
    <w:rsid w:val="00D77D17"/>
    <w:rsid w:val="00D958FF"/>
    <w:rsid w:val="00DC391B"/>
    <w:rsid w:val="00DC4187"/>
    <w:rsid w:val="00DC4B29"/>
    <w:rsid w:val="00DE3F9C"/>
    <w:rsid w:val="00DF49C6"/>
    <w:rsid w:val="00E100CF"/>
    <w:rsid w:val="00E33372"/>
    <w:rsid w:val="00E350A9"/>
    <w:rsid w:val="00E36215"/>
    <w:rsid w:val="00E62298"/>
    <w:rsid w:val="00E871A8"/>
    <w:rsid w:val="00F031D2"/>
    <w:rsid w:val="00F5385B"/>
    <w:rsid w:val="00F53EBF"/>
    <w:rsid w:val="00F551CA"/>
    <w:rsid w:val="00F70054"/>
    <w:rsid w:val="00FA47C6"/>
    <w:rsid w:val="00FA6EBE"/>
    <w:rsid w:val="00FB35A4"/>
    <w:rsid w:val="00FD309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37"/>
    <w:rPr>
      <w:rFonts w:ascii="Arial" w:eastAsia="Times New Roman" w:hAnsi="Arial"/>
      <w:sz w:val="24"/>
      <w:szCs w:val="24"/>
    </w:rPr>
  </w:style>
  <w:style w:type="paragraph" w:styleId="Heading1">
    <w:name w:val="heading 1"/>
    <w:basedOn w:val="Normal"/>
    <w:next w:val="Heading2"/>
    <w:link w:val="Heading1Char"/>
    <w:uiPriority w:val="99"/>
    <w:qFormat/>
    <w:rsid w:val="00F031D2"/>
    <w:pPr>
      <w:numPr>
        <w:numId w:val="2"/>
      </w:numPr>
      <w:spacing w:before="120" w:after="60"/>
      <w:jc w:val="center"/>
      <w:outlineLvl w:val="0"/>
    </w:pPr>
    <w:rPr>
      <w:rFonts w:ascii="Times New Roman" w:eastAsia="Calibri" w:hAnsi="Times New Roman"/>
      <w:b/>
      <w:kern w:val="28"/>
      <w:szCs w:val="20"/>
    </w:rPr>
  </w:style>
  <w:style w:type="paragraph" w:styleId="Heading2">
    <w:name w:val="heading 2"/>
    <w:basedOn w:val="Normal"/>
    <w:link w:val="Heading2Char"/>
    <w:uiPriority w:val="99"/>
    <w:qFormat/>
    <w:rsid w:val="00F031D2"/>
    <w:pPr>
      <w:numPr>
        <w:ilvl w:val="1"/>
        <w:numId w:val="2"/>
      </w:numPr>
      <w:spacing w:before="60" w:after="60"/>
      <w:jc w:val="both"/>
      <w:outlineLvl w:val="1"/>
    </w:pPr>
    <w:rPr>
      <w:rFonts w:ascii="Times New Roman" w:eastAsia="Calibri" w:hAnsi="Times New Roman"/>
      <w:szCs w:val="20"/>
    </w:rPr>
  </w:style>
  <w:style w:type="paragraph" w:styleId="Heading3">
    <w:name w:val="heading 3"/>
    <w:basedOn w:val="Normal"/>
    <w:next w:val="Normal"/>
    <w:link w:val="Heading3Char"/>
    <w:uiPriority w:val="99"/>
    <w:qFormat/>
    <w:rsid w:val="00F031D2"/>
    <w:pPr>
      <w:numPr>
        <w:ilvl w:val="2"/>
        <w:numId w:val="2"/>
      </w:numPr>
      <w:jc w:val="both"/>
      <w:outlineLvl w:val="2"/>
    </w:pPr>
    <w:rPr>
      <w:rFonts w:ascii="Times New Roman" w:eastAsia="Calibri" w:hAnsi="Times New Roman"/>
      <w:szCs w:val="20"/>
    </w:rPr>
  </w:style>
  <w:style w:type="paragraph" w:styleId="Heading5">
    <w:name w:val="heading 5"/>
    <w:basedOn w:val="Normal"/>
    <w:next w:val="Normal"/>
    <w:link w:val="Heading5Char"/>
    <w:uiPriority w:val="99"/>
    <w:qFormat/>
    <w:rsid w:val="00F031D2"/>
    <w:pPr>
      <w:numPr>
        <w:ilvl w:val="4"/>
        <w:numId w:val="2"/>
      </w:numPr>
      <w:spacing w:before="240" w:after="60"/>
      <w:outlineLvl w:val="4"/>
    </w:pPr>
    <w:rPr>
      <w:rFonts w:eastAsia="Calibri"/>
      <w:sz w:val="22"/>
      <w:szCs w:val="20"/>
    </w:rPr>
  </w:style>
  <w:style w:type="paragraph" w:styleId="Heading6">
    <w:name w:val="heading 6"/>
    <w:basedOn w:val="Normal"/>
    <w:next w:val="Normal"/>
    <w:link w:val="Heading6Char"/>
    <w:uiPriority w:val="99"/>
    <w:qFormat/>
    <w:rsid w:val="00F031D2"/>
    <w:pPr>
      <w:numPr>
        <w:ilvl w:val="5"/>
        <w:numId w:val="2"/>
      </w:numPr>
      <w:spacing w:before="240" w:after="60"/>
      <w:outlineLvl w:val="5"/>
    </w:pPr>
    <w:rPr>
      <w:rFonts w:ascii="Times New Roman" w:eastAsia="Calibri" w:hAnsi="Times New Roman"/>
      <w:i/>
      <w:sz w:val="22"/>
      <w:szCs w:val="20"/>
    </w:rPr>
  </w:style>
  <w:style w:type="paragraph" w:styleId="Heading7">
    <w:name w:val="heading 7"/>
    <w:basedOn w:val="Normal"/>
    <w:next w:val="Normal"/>
    <w:link w:val="Heading7Char"/>
    <w:uiPriority w:val="99"/>
    <w:qFormat/>
    <w:rsid w:val="00F031D2"/>
    <w:pPr>
      <w:numPr>
        <w:ilvl w:val="6"/>
        <w:numId w:val="2"/>
      </w:numPr>
      <w:spacing w:before="240" w:after="60"/>
      <w:outlineLvl w:val="6"/>
    </w:pPr>
    <w:rPr>
      <w:rFonts w:eastAsia="Calibri"/>
      <w:sz w:val="20"/>
      <w:szCs w:val="20"/>
    </w:rPr>
  </w:style>
  <w:style w:type="paragraph" w:styleId="Heading8">
    <w:name w:val="heading 8"/>
    <w:basedOn w:val="Normal"/>
    <w:next w:val="Normal"/>
    <w:link w:val="Heading8Char"/>
    <w:uiPriority w:val="99"/>
    <w:qFormat/>
    <w:rsid w:val="00F031D2"/>
    <w:pPr>
      <w:numPr>
        <w:ilvl w:val="7"/>
        <w:numId w:val="2"/>
      </w:numPr>
      <w:spacing w:before="240" w:after="60"/>
      <w:outlineLvl w:val="7"/>
    </w:pPr>
    <w:rPr>
      <w:rFonts w:eastAsia="Calibri"/>
      <w:i/>
      <w:sz w:val="20"/>
      <w:szCs w:val="20"/>
    </w:rPr>
  </w:style>
  <w:style w:type="paragraph" w:styleId="Heading9">
    <w:name w:val="heading 9"/>
    <w:basedOn w:val="Normal"/>
    <w:next w:val="Normal"/>
    <w:link w:val="Heading9Char"/>
    <w:uiPriority w:val="99"/>
    <w:qFormat/>
    <w:rsid w:val="00F031D2"/>
    <w:pPr>
      <w:numPr>
        <w:ilvl w:val="8"/>
        <w:numId w:val="2"/>
      </w:numPr>
      <w:spacing w:before="240" w:after="60"/>
      <w:outlineLvl w:val="8"/>
    </w:pPr>
    <w:rPr>
      <w:rFonts w:eastAsia="Calibri"/>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1D2"/>
    <w:rPr>
      <w:rFonts w:cs="Times New Roman"/>
      <w:b/>
      <w:kern w:val="28"/>
      <w:sz w:val="24"/>
      <w:lang w:val="hu-HU" w:eastAsia="hu-HU" w:bidi="ar-SA"/>
    </w:rPr>
  </w:style>
  <w:style w:type="character" w:customStyle="1" w:styleId="Heading2Char">
    <w:name w:val="Heading 2 Char"/>
    <w:basedOn w:val="DefaultParagraphFont"/>
    <w:link w:val="Heading2"/>
    <w:uiPriority w:val="99"/>
    <w:locked/>
    <w:rsid w:val="00F031D2"/>
    <w:rPr>
      <w:rFonts w:cs="Times New Roman"/>
      <w:sz w:val="24"/>
      <w:lang w:val="hu-HU" w:eastAsia="hu-HU" w:bidi="ar-SA"/>
    </w:rPr>
  </w:style>
  <w:style w:type="character" w:customStyle="1" w:styleId="Heading3Char">
    <w:name w:val="Heading 3 Char"/>
    <w:basedOn w:val="DefaultParagraphFont"/>
    <w:link w:val="Heading3"/>
    <w:uiPriority w:val="99"/>
    <w:locked/>
    <w:rsid w:val="00F031D2"/>
    <w:rPr>
      <w:rFonts w:cs="Times New Roman"/>
      <w:sz w:val="24"/>
      <w:lang w:val="hu-HU" w:eastAsia="hu-HU" w:bidi="ar-SA"/>
    </w:rPr>
  </w:style>
  <w:style w:type="character" w:customStyle="1" w:styleId="Heading5Char">
    <w:name w:val="Heading 5 Char"/>
    <w:basedOn w:val="DefaultParagraphFont"/>
    <w:link w:val="Heading5"/>
    <w:uiPriority w:val="99"/>
    <w:locked/>
    <w:rsid w:val="00F031D2"/>
    <w:rPr>
      <w:rFonts w:ascii="Arial" w:hAnsi="Arial" w:cs="Times New Roman"/>
      <w:sz w:val="22"/>
      <w:lang w:val="hu-HU" w:eastAsia="hu-HU" w:bidi="ar-SA"/>
    </w:rPr>
  </w:style>
  <w:style w:type="character" w:customStyle="1" w:styleId="Heading6Char">
    <w:name w:val="Heading 6 Char"/>
    <w:basedOn w:val="DefaultParagraphFont"/>
    <w:link w:val="Heading6"/>
    <w:uiPriority w:val="99"/>
    <w:locked/>
    <w:rsid w:val="00F031D2"/>
    <w:rPr>
      <w:rFonts w:cs="Times New Roman"/>
      <w:i/>
      <w:sz w:val="22"/>
      <w:lang w:val="hu-HU" w:eastAsia="hu-HU" w:bidi="ar-SA"/>
    </w:rPr>
  </w:style>
  <w:style w:type="character" w:customStyle="1" w:styleId="Heading7Char">
    <w:name w:val="Heading 7 Char"/>
    <w:basedOn w:val="DefaultParagraphFont"/>
    <w:link w:val="Heading7"/>
    <w:uiPriority w:val="99"/>
    <w:locked/>
    <w:rsid w:val="00F031D2"/>
    <w:rPr>
      <w:rFonts w:ascii="Arial" w:hAnsi="Arial" w:cs="Times New Roman"/>
      <w:lang w:val="hu-HU" w:eastAsia="hu-HU" w:bidi="ar-SA"/>
    </w:rPr>
  </w:style>
  <w:style w:type="character" w:customStyle="1" w:styleId="Heading8Char">
    <w:name w:val="Heading 8 Char"/>
    <w:basedOn w:val="DefaultParagraphFont"/>
    <w:link w:val="Heading8"/>
    <w:uiPriority w:val="99"/>
    <w:locked/>
    <w:rsid w:val="00F031D2"/>
    <w:rPr>
      <w:rFonts w:ascii="Arial" w:hAnsi="Arial" w:cs="Times New Roman"/>
      <w:i/>
      <w:lang w:val="hu-HU" w:eastAsia="hu-HU" w:bidi="ar-SA"/>
    </w:rPr>
  </w:style>
  <w:style w:type="character" w:customStyle="1" w:styleId="Heading9Char">
    <w:name w:val="Heading 9 Char"/>
    <w:basedOn w:val="DefaultParagraphFont"/>
    <w:link w:val="Heading9"/>
    <w:uiPriority w:val="99"/>
    <w:locked/>
    <w:rsid w:val="00F031D2"/>
    <w:rPr>
      <w:rFonts w:ascii="Arial" w:hAnsi="Arial" w:cs="Times New Roman"/>
      <w:b/>
      <w:i/>
      <w:sz w:val="18"/>
      <w:lang w:val="hu-HU" w:eastAsia="hu-HU" w:bidi="ar-SA"/>
    </w:rPr>
  </w:style>
  <w:style w:type="paragraph" w:styleId="ListParagraph">
    <w:name w:val="List Paragraph"/>
    <w:basedOn w:val="Normal"/>
    <w:uiPriority w:val="99"/>
    <w:qFormat/>
    <w:rsid w:val="001A65E6"/>
    <w:pPr>
      <w:ind w:left="720"/>
      <w:contextualSpacing/>
    </w:pPr>
  </w:style>
  <w:style w:type="paragraph" w:styleId="Header">
    <w:name w:val="header"/>
    <w:basedOn w:val="Normal"/>
    <w:link w:val="HeaderChar"/>
    <w:uiPriority w:val="99"/>
    <w:rsid w:val="00E36215"/>
    <w:pPr>
      <w:tabs>
        <w:tab w:val="center" w:pos="4536"/>
        <w:tab w:val="right" w:pos="9072"/>
      </w:tabs>
    </w:pPr>
  </w:style>
  <w:style w:type="character" w:customStyle="1" w:styleId="HeaderChar">
    <w:name w:val="Header Char"/>
    <w:basedOn w:val="DefaultParagraphFont"/>
    <w:link w:val="Header"/>
    <w:uiPriority w:val="99"/>
    <w:locked/>
    <w:rsid w:val="00E36215"/>
    <w:rPr>
      <w:rFonts w:ascii="Arial" w:hAnsi="Arial" w:cs="Times New Roman"/>
      <w:sz w:val="24"/>
      <w:szCs w:val="24"/>
      <w:lang w:eastAsia="hu-HU"/>
    </w:rPr>
  </w:style>
  <w:style w:type="paragraph" w:styleId="Footer">
    <w:name w:val="footer"/>
    <w:basedOn w:val="Normal"/>
    <w:link w:val="FooterChar"/>
    <w:uiPriority w:val="99"/>
    <w:rsid w:val="00E36215"/>
    <w:pPr>
      <w:tabs>
        <w:tab w:val="center" w:pos="4536"/>
        <w:tab w:val="right" w:pos="9072"/>
      </w:tabs>
    </w:pPr>
  </w:style>
  <w:style w:type="character" w:customStyle="1" w:styleId="FooterChar">
    <w:name w:val="Footer Char"/>
    <w:basedOn w:val="DefaultParagraphFont"/>
    <w:link w:val="Footer"/>
    <w:uiPriority w:val="99"/>
    <w:locked/>
    <w:rsid w:val="00E36215"/>
    <w:rPr>
      <w:rFonts w:ascii="Arial" w:hAnsi="Arial" w:cs="Times New Roman"/>
      <w:sz w:val="24"/>
      <w:szCs w:val="24"/>
      <w:lang w:eastAsia="hu-HU"/>
    </w:rPr>
  </w:style>
  <w:style w:type="character" w:styleId="CommentReference">
    <w:name w:val="annotation reference"/>
    <w:basedOn w:val="DefaultParagraphFont"/>
    <w:uiPriority w:val="99"/>
    <w:semiHidden/>
    <w:rsid w:val="00DC4B29"/>
    <w:rPr>
      <w:rFonts w:cs="Times New Roman"/>
      <w:sz w:val="16"/>
      <w:szCs w:val="16"/>
    </w:rPr>
  </w:style>
  <w:style w:type="paragraph" w:styleId="CommentText">
    <w:name w:val="annotation text"/>
    <w:basedOn w:val="Normal"/>
    <w:link w:val="CommentTextChar"/>
    <w:uiPriority w:val="99"/>
    <w:semiHidden/>
    <w:rsid w:val="00DC4B29"/>
    <w:rPr>
      <w:sz w:val="20"/>
      <w:szCs w:val="20"/>
    </w:rPr>
  </w:style>
  <w:style w:type="character" w:customStyle="1" w:styleId="CommentTextChar">
    <w:name w:val="Comment Text Char"/>
    <w:basedOn w:val="DefaultParagraphFont"/>
    <w:link w:val="CommentText"/>
    <w:uiPriority w:val="99"/>
    <w:semiHidden/>
    <w:locked/>
    <w:rsid w:val="00DC4B29"/>
    <w:rPr>
      <w:rFonts w:ascii="Arial" w:hAnsi="Arial" w:cs="Times New Roman"/>
      <w:sz w:val="20"/>
      <w:szCs w:val="20"/>
      <w:lang w:eastAsia="hu-HU"/>
    </w:rPr>
  </w:style>
  <w:style w:type="paragraph" w:styleId="CommentSubject">
    <w:name w:val="annotation subject"/>
    <w:basedOn w:val="CommentText"/>
    <w:next w:val="CommentText"/>
    <w:link w:val="CommentSubjectChar"/>
    <w:uiPriority w:val="99"/>
    <w:semiHidden/>
    <w:rsid w:val="00DC4B29"/>
    <w:rPr>
      <w:b/>
      <w:bCs/>
    </w:rPr>
  </w:style>
  <w:style w:type="character" w:customStyle="1" w:styleId="CommentSubjectChar">
    <w:name w:val="Comment Subject Char"/>
    <w:basedOn w:val="CommentTextChar"/>
    <w:link w:val="CommentSubject"/>
    <w:uiPriority w:val="99"/>
    <w:semiHidden/>
    <w:locked/>
    <w:rsid w:val="00DC4B29"/>
    <w:rPr>
      <w:b/>
      <w:bCs/>
    </w:rPr>
  </w:style>
  <w:style w:type="paragraph" w:styleId="BalloonText">
    <w:name w:val="Balloon Text"/>
    <w:basedOn w:val="Normal"/>
    <w:link w:val="BalloonTextChar"/>
    <w:uiPriority w:val="99"/>
    <w:semiHidden/>
    <w:rsid w:val="00DC4B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B29"/>
    <w:rPr>
      <w:rFonts w:ascii="Tahom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1667</Words>
  <Characters>11503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dc:title>
  <dc:subject/>
  <dc:creator>ijankovi</dc:creator>
  <cp:keywords/>
  <dc:description/>
  <cp:lastModifiedBy>Krizmanichné Magyari Klára</cp:lastModifiedBy>
  <cp:revision>25</cp:revision>
  <cp:lastPrinted>2013-09-17T08:47:00Z</cp:lastPrinted>
  <dcterms:created xsi:type="dcterms:W3CDTF">2013-09-17T08:47:00Z</dcterms:created>
  <dcterms:modified xsi:type="dcterms:W3CDTF">2013-09-17T14:01:00Z</dcterms:modified>
</cp:coreProperties>
</file>