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C4" w:rsidRDefault="004706C4" w:rsidP="00FB2104">
      <w:pPr>
        <w:tabs>
          <w:tab w:val="center" w:pos="4536"/>
        </w:tabs>
        <w:jc w:val="center"/>
        <w:outlineLvl w:val="0"/>
        <w:rPr>
          <w:b/>
        </w:rPr>
      </w:pPr>
    </w:p>
    <w:p w:rsidR="004706C4" w:rsidRPr="007D68FF" w:rsidRDefault="004706C4" w:rsidP="00FB2104">
      <w:pPr>
        <w:tabs>
          <w:tab w:val="center" w:pos="4536"/>
        </w:tabs>
        <w:jc w:val="center"/>
        <w:outlineLvl w:val="0"/>
        <w:rPr>
          <w:b/>
        </w:rPr>
      </w:pPr>
      <w:r w:rsidRPr="007D68FF">
        <w:rPr>
          <w:b/>
        </w:rPr>
        <w:t>MEGÁLLAPODÁS</w:t>
      </w:r>
    </w:p>
    <w:p w:rsidR="004706C4" w:rsidRPr="007D68FF" w:rsidRDefault="004706C4" w:rsidP="00FB2104">
      <w:pPr>
        <w:jc w:val="center"/>
        <w:rPr>
          <w:b/>
        </w:rPr>
      </w:pPr>
      <w:r w:rsidRPr="007D68FF">
        <w:rPr>
          <w:b/>
        </w:rPr>
        <w:t>állami vagyonba tartozó ingatlan ingyenes önkormányzati tulajdonba adásáról</w:t>
      </w:r>
    </w:p>
    <w:p w:rsidR="004706C4" w:rsidRPr="007D68FF" w:rsidRDefault="004706C4" w:rsidP="00FB2104"/>
    <w:p w:rsidR="004706C4" w:rsidRPr="007D68FF" w:rsidRDefault="004706C4" w:rsidP="00FB2104"/>
    <w:p w:rsidR="004706C4" w:rsidRPr="007D68FF" w:rsidRDefault="004706C4" w:rsidP="00FB2104">
      <w:r w:rsidRPr="007D68FF">
        <w:t>amely létrejött:</w:t>
      </w:r>
    </w:p>
    <w:p w:rsidR="004706C4" w:rsidRPr="007D68FF" w:rsidRDefault="004706C4" w:rsidP="00FB2104">
      <w:pPr>
        <w:jc w:val="both"/>
      </w:pPr>
    </w:p>
    <w:p w:rsidR="004706C4" w:rsidRPr="007D68FF" w:rsidRDefault="004706C4" w:rsidP="00FB2104">
      <w:pPr>
        <w:jc w:val="both"/>
      </w:pPr>
      <w:r w:rsidRPr="007D68FF">
        <w:t xml:space="preserve">egyrészről a </w:t>
      </w:r>
      <w:r w:rsidRPr="007D68FF">
        <w:rPr>
          <w:b/>
        </w:rPr>
        <w:t xml:space="preserve">Magyar Állam </w:t>
      </w:r>
      <w:r w:rsidRPr="007D68FF">
        <w:t xml:space="preserve">képviseletében az állami vagyonról szóló 2007. évi CVI. törvény (a továbbiakban: </w:t>
      </w:r>
      <w:r w:rsidRPr="007D68FF">
        <w:rPr>
          <w:bCs/>
        </w:rPr>
        <w:t>Vtv</w:t>
      </w:r>
      <w:r w:rsidRPr="007D68FF">
        <w:t xml:space="preserve">.) 17. § (1) bekezdésének e) pontja alapján eljáró </w:t>
      </w:r>
      <w:r w:rsidRPr="007D68FF">
        <w:rPr>
          <w:b/>
        </w:rPr>
        <w:t>Magyar Nemzeti Vagyonkezelő Zrt</w:t>
      </w:r>
      <w:r w:rsidRPr="007D68FF">
        <w:t xml:space="preserve">. (székhelye: 1133 Budapest, Pozsonyi út 56. szám, adószáma: </w:t>
      </w:r>
      <w:r w:rsidRPr="007D68FF">
        <w:rPr>
          <w:bCs/>
        </w:rPr>
        <w:t>14077340-2-44</w:t>
      </w:r>
      <w:r w:rsidRPr="007D68FF">
        <w:rPr>
          <w:bCs/>
          <w:color w:val="000080"/>
        </w:rPr>
        <w:t>.</w:t>
      </w:r>
      <w:r w:rsidRPr="007D68FF">
        <w:t xml:space="preserve"> cégjegyzékszáma: 01-10-045784, statisztikai számjele: 1</w:t>
      </w:r>
      <w:r>
        <w:t xml:space="preserve">4077340-6420-114-01) képviseli: </w:t>
      </w:r>
      <w:r w:rsidRPr="003D368B">
        <w:t>Dr Tuboly János területi irodavezető  és Vigh Edit helyettes területi irodavezető</w:t>
      </w:r>
      <w:r>
        <w:t xml:space="preserve">  </w:t>
      </w:r>
      <w:r w:rsidRPr="007D68FF">
        <w:t xml:space="preserve"> mint tulajdonba adó (a továbbiakban: </w:t>
      </w:r>
      <w:r w:rsidRPr="007D68FF">
        <w:rPr>
          <w:b/>
        </w:rPr>
        <w:t>MNV Zrt</w:t>
      </w:r>
      <w:r w:rsidRPr="007D68FF">
        <w:t>.),</w:t>
      </w:r>
    </w:p>
    <w:p w:rsidR="004706C4" w:rsidRPr="007D68FF" w:rsidRDefault="004706C4" w:rsidP="00FB2104">
      <w:pPr>
        <w:jc w:val="both"/>
      </w:pPr>
    </w:p>
    <w:p w:rsidR="004706C4" w:rsidRPr="007D68FF" w:rsidRDefault="004706C4" w:rsidP="00FB2104">
      <w:pPr>
        <w:jc w:val="both"/>
      </w:pPr>
      <w:r w:rsidRPr="003D368B">
        <w:t xml:space="preserve">másrészről </w:t>
      </w:r>
      <w:r w:rsidRPr="003D368B">
        <w:rPr>
          <w:b/>
        </w:rPr>
        <w:t>Szombathely Megyei Jogú Város  Önkormányzata</w:t>
      </w:r>
      <w:r w:rsidRPr="003D368B">
        <w:t xml:space="preserve"> (székhely: 9700 Szombathely, Kossuth Lajos u. 1-3. törzsszám: 733656 adószám: 15733658-2-18 statisztikai számjel:15733658-8411-321-18) képviseli:Dr Puskás Tivadar  polgármester</w:t>
      </w:r>
      <w:r w:rsidRPr="007D68FF">
        <w:t xml:space="preserve">, mint tulajdonba vevő (a továbbiakban: </w:t>
      </w:r>
      <w:r w:rsidRPr="007D68FF">
        <w:rPr>
          <w:b/>
        </w:rPr>
        <w:t>Önkormányzat)</w:t>
      </w:r>
      <w:r w:rsidRPr="007D68FF">
        <w:t>,</w:t>
      </w:r>
    </w:p>
    <w:p w:rsidR="004706C4" w:rsidRPr="007D68FF" w:rsidRDefault="004706C4" w:rsidP="00FB2104">
      <w:pPr>
        <w:jc w:val="both"/>
      </w:pPr>
    </w:p>
    <w:p w:rsidR="004706C4" w:rsidRPr="007D68FF" w:rsidRDefault="004706C4" w:rsidP="00FB2104">
      <w:pPr>
        <w:jc w:val="both"/>
      </w:pPr>
      <w:r w:rsidRPr="007D68FF">
        <w:t xml:space="preserve">– együttesen: </w:t>
      </w:r>
      <w:r w:rsidRPr="007D68FF">
        <w:rPr>
          <w:b/>
        </w:rPr>
        <w:t>Szerződő Felek</w:t>
      </w:r>
      <w:r w:rsidRPr="007D68FF">
        <w:t xml:space="preserve"> – között alulírott helyen és napon az alábbiak szerint:</w:t>
      </w:r>
    </w:p>
    <w:p w:rsidR="004706C4" w:rsidRPr="007D68FF" w:rsidRDefault="004706C4" w:rsidP="00FB2104">
      <w:pPr>
        <w:jc w:val="both"/>
      </w:pPr>
    </w:p>
    <w:p w:rsidR="004706C4" w:rsidRPr="007D68FF" w:rsidRDefault="004706C4" w:rsidP="00FB2104">
      <w:pPr>
        <w:jc w:val="both"/>
      </w:pPr>
    </w:p>
    <w:p w:rsidR="004706C4" w:rsidRPr="007D68FF" w:rsidRDefault="004706C4" w:rsidP="00FB2104">
      <w:pPr>
        <w:jc w:val="both"/>
        <w:rPr>
          <w:b/>
          <w:u w:val="single"/>
        </w:rPr>
      </w:pPr>
      <w:r w:rsidRPr="007D68FF">
        <w:rPr>
          <w:b/>
          <w:u w:val="single"/>
        </w:rPr>
        <w:t>I. Előzmények:</w:t>
      </w:r>
    </w:p>
    <w:p w:rsidR="004706C4" w:rsidRPr="007D68FF" w:rsidRDefault="004706C4" w:rsidP="00FB2104">
      <w:pPr>
        <w:jc w:val="both"/>
        <w:rPr>
          <w:b/>
          <w:u w:val="single"/>
        </w:rPr>
      </w:pPr>
    </w:p>
    <w:p w:rsidR="004706C4" w:rsidRPr="007D68FF" w:rsidRDefault="004706C4" w:rsidP="00FB2104">
      <w:pPr>
        <w:jc w:val="both"/>
      </w:pPr>
      <w:r w:rsidRPr="007D68FF">
        <w:rPr>
          <w:b/>
        </w:rPr>
        <w:t>I.1.</w:t>
      </w:r>
      <w:r w:rsidRPr="007D68FF">
        <w:t xml:space="preserve"> A Vtv. 3. § (1) bekezdése értelmében az állami vagyon feletti tulajdonosi jogok és kötelezettségek összességét – ha törvény eltérően nem rendelkezik – az állami vagyon felügyeletéért felelős miniszter gyakorolja, aki e feladatát – többek között – az MNV Zrt. útján látja el. A Vtv. 33. §-ának (1) bekezdése szerint állami vagyon tulajdonjogának átruházására – ha törvény eltérően nem rendelkezik – kizárólag az MNV Zrt. jogosult. A Vtv. 36. § (2) bekezdés c) pontja alapján az állami vagyon tulajdonjoga helyi önkormányzat javára ingyenesen átruházható törvényben vagy törvény felhatalmazása alapján kiadott jogszabályban foglalt feladatai elősegítése érdekében.</w:t>
      </w:r>
    </w:p>
    <w:p w:rsidR="004706C4" w:rsidRPr="007D68FF" w:rsidRDefault="004706C4" w:rsidP="00FB2104">
      <w:pPr>
        <w:jc w:val="both"/>
        <w:rPr>
          <w:u w:val="single"/>
        </w:rPr>
      </w:pPr>
    </w:p>
    <w:p w:rsidR="004706C4" w:rsidRPr="007D68FF" w:rsidRDefault="004706C4" w:rsidP="00FB2104">
      <w:pPr>
        <w:jc w:val="both"/>
      </w:pPr>
      <w:r w:rsidRPr="007D68FF">
        <w:rPr>
          <w:b/>
        </w:rPr>
        <w:t>I.2.</w:t>
      </w:r>
      <w:r w:rsidRPr="007D68FF">
        <w:t xml:space="preserve"> A Vtv. 36. § (3) bekezdésének felhatalmazása alapján Magyarország Kormánya az 1</w:t>
      </w:r>
      <w:r>
        <w:t>253</w:t>
      </w:r>
      <w:r w:rsidRPr="007D68FF">
        <w:t>/2012. (V</w:t>
      </w:r>
      <w:r>
        <w:t>II</w:t>
      </w:r>
      <w:r w:rsidRPr="007D68FF">
        <w:t>.</w:t>
      </w:r>
      <w:r>
        <w:t xml:space="preserve"> 19</w:t>
      </w:r>
      <w:r w:rsidRPr="007D68FF">
        <w:t>.) számú határozatában (a továbbiakban: Korm. határozat) az Önkormányzat által benyújtott – ingyenes tulajdonba adásra irányuló kérelem – alapján az ingatlan-nyilvántartásban</w:t>
      </w:r>
      <w:r w:rsidRPr="007D68FF">
        <w:rPr>
          <w:b/>
        </w:rPr>
        <w:t xml:space="preserve"> </w:t>
      </w:r>
      <w:r w:rsidRPr="003D368B">
        <w:rPr>
          <w:b/>
        </w:rPr>
        <w:t>7029/3 helyrajzi szám</w:t>
      </w:r>
      <w:r w:rsidRPr="007D68FF">
        <w:t xml:space="preserve"> alatt felvett, </w:t>
      </w:r>
      <w:r w:rsidRPr="003D368B">
        <w:rPr>
          <w:b/>
        </w:rPr>
        <w:t>kivett</w:t>
      </w:r>
      <w:r w:rsidRPr="003D368B">
        <w:t xml:space="preserve"> </w:t>
      </w:r>
      <w:r w:rsidRPr="003D368B">
        <w:rPr>
          <w:b/>
        </w:rPr>
        <w:t xml:space="preserve"> udvar</w:t>
      </w:r>
      <w:r w:rsidRPr="007D68FF">
        <w:t xml:space="preserve"> megnevezésű ingatlan térítésmentes önkormányzati tulajdonba adásáról döntött. Jelen megállapodás</w:t>
      </w:r>
      <w:r>
        <w:t xml:space="preserve"> megkötésére a Korm. határozat </w:t>
      </w:r>
      <w:r w:rsidRPr="003D368B">
        <w:t>2.</w:t>
      </w:r>
      <w:r w:rsidRPr="007D68FF">
        <w:t xml:space="preserve"> pontjában foglalt felhatalmazás alapján kerül sor. Az Önkormányzat </w:t>
      </w:r>
      <w:r>
        <w:t xml:space="preserve">Közgyűlése </w:t>
      </w:r>
      <w:r w:rsidRPr="007D68FF">
        <w:t>által hozott, az ingyenes tulajdonb</w:t>
      </w:r>
      <w:r>
        <w:t xml:space="preserve">a adás kezdeményezéséről szóló 21/2011. (I. 27.) Kgy. </w:t>
      </w:r>
      <w:r w:rsidRPr="007D68FF">
        <w:t>számú határozat másolata jelen megállapodás 1. számú elválaszthatatlan mellékletét képezi.</w:t>
      </w:r>
    </w:p>
    <w:p w:rsidR="004706C4" w:rsidRPr="007D68FF" w:rsidRDefault="004706C4" w:rsidP="00FB2104">
      <w:pPr>
        <w:jc w:val="both"/>
      </w:pPr>
    </w:p>
    <w:p w:rsidR="004706C4" w:rsidRPr="007D68FF" w:rsidRDefault="004706C4" w:rsidP="00FB2104">
      <w:pPr>
        <w:jc w:val="both"/>
      </w:pPr>
      <w:r w:rsidRPr="007D68FF">
        <w:rPr>
          <w:b/>
        </w:rPr>
        <w:t>I.3.</w:t>
      </w:r>
      <w:r w:rsidRPr="007D68FF">
        <w:t xml:space="preserve"> Szerződő Felek rögzítik, hogy jelen megállapodás szerinti tulajdonba adásra a helyi önkormányzatokról szóló 1990. évi LXV. törvény (a továbbiakban: Ötv.) 8. § (1) bekezdésében meghatározott </w:t>
      </w:r>
      <w:r w:rsidRPr="003D368B">
        <w:t>– településfejlesztés, településrendezés, helyi tömegközlekedés biztosítása–</w:t>
      </w:r>
      <w:r w:rsidRPr="007D68FF">
        <w:t xml:space="preserve"> önkormányzati feladatok ell</w:t>
      </w:r>
      <w:r>
        <w:t xml:space="preserve">átásának elősegítése érdekében, </w:t>
      </w:r>
      <w:r w:rsidRPr="003D368B">
        <w:t xml:space="preserve">intermodális  autóbusz pályaudvar </w:t>
      </w:r>
      <w:r>
        <w:t xml:space="preserve">megvalósítása </w:t>
      </w:r>
      <w:r w:rsidRPr="003D368B">
        <w:t>céljából kerül sor.</w:t>
      </w:r>
    </w:p>
    <w:p w:rsidR="004706C4" w:rsidRPr="007D68FF" w:rsidRDefault="004706C4" w:rsidP="00FB2104">
      <w:pPr>
        <w:jc w:val="both"/>
      </w:pPr>
    </w:p>
    <w:p w:rsidR="004706C4" w:rsidRPr="007D68FF" w:rsidRDefault="004706C4" w:rsidP="00FB2104">
      <w:pPr>
        <w:jc w:val="both"/>
        <w:rPr>
          <w:b/>
          <w:u w:val="single"/>
        </w:rPr>
      </w:pPr>
      <w:r w:rsidRPr="007D68FF">
        <w:rPr>
          <w:b/>
          <w:u w:val="single"/>
        </w:rPr>
        <w:t>II. A szerződés tárgya:</w:t>
      </w:r>
    </w:p>
    <w:p w:rsidR="004706C4" w:rsidRPr="007D68FF" w:rsidRDefault="004706C4" w:rsidP="00FB2104">
      <w:pPr>
        <w:jc w:val="both"/>
        <w:rPr>
          <w:b/>
          <w:u w:val="single"/>
        </w:rPr>
      </w:pPr>
    </w:p>
    <w:p w:rsidR="004706C4" w:rsidRPr="007D68FF" w:rsidRDefault="004706C4" w:rsidP="00FB2104">
      <w:pPr>
        <w:jc w:val="both"/>
      </w:pPr>
      <w:r w:rsidRPr="007D68FF">
        <w:t>Szerződő Felek megállapodnak, hogy a jelen megállapodás tárgyát az ingatlan-nyilvántartás szerint a Magyar Állam tulajdonában lévő és az MNV Zrt. vagyonkezelésébe tartozó alábbi ingatlan (a továbbiakban: Ingatlan) képezi.</w:t>
      </w:r>
    </w:p>
    <w:p w:rsidR="004706C4" w:rsidRPr="007D68FF" w:rsidRDefault="004706C4" w:rsidP="00FB2104">
      <w:pPr>
        <w:jc w:val="both"/>
        <w:rPr>
          <w:u w:val="single"/>
        </w:rPr>
      </w:pPr>
    </w:p>
    <w:p w:rsidR="004706C4" w:rsidRPr="007D68FF" w:rsidRDefault="004706C4" w:rsidP="00FB2104">
      <w:pPr>
        <w:jc w:val="both"/>
      </w:pPr>
      <w:r w:rsidRPr="007D68FF">
        <w:rPr>
          <w:u w:val="single"/>
        </w:rPr>
        <w:t>Az ingatlan adatai</w:t>
      </w:r>
      <w:r w:rsidRPr="007D68FF">
        <w:t>:</w:t>
      </w:r>
    </w:p>
    <w:p w:rsidR="004706C4" w:rsidRPr="007D68FF" w:rsidRDefault="004706C4" w:rsidP="00FB21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4"/>
        <w:gridCol w:w="851"/>
        <w:gridCol w:w="1152"/>
        <w:gridCol w:w="693"/>
        <w:gridCol w:w="1133"/>
        <w:gridCol w:w="1843"/>
        <w:gridCol w:w="992"/>
        <w:gridCol w:w="1100"/>
      </w:tblGrid>
      <w:tr w:rsidR="004706C4" w:rsidRPr="007D68FF" w:rsidTr="00A85704">
        <w:trPr>
          <w:trHeight w:val="413"/>
        </w:trPr>
        <w:tc>
          <w:tcPr>
            <w:tcW w:w="821" w:type="pct"/>
            <w:vMerge w:val="restart"/>
          </w:tcPr>
          <w:p w:rsidR="004706C4" w:rsidRPr="007D68FF" w:rsidRDefault="004706C4" w:rsidP="00367596">
            <w:pPr>
              <w:ind w:right="-108"/>
              <w:jc w:val="center"/>
              <w:rPr>
                <w:b/>
              </w:rPr>
            </w:pPr>
            <w:r w:rsidRPr="007D68FF">
              <w:rPr>
                <w:b/>
              </w:rPr>
              <w:t>Település (cím)</w:t>
            </w:r>
          </w:p>
        </w:tc>
        <w:tc>
          <w:tcPr>
            <w:tcW w:w="458" w:type="pct"/>
            <w:vMerge w:val="restart"/>
          </w:tcPr>
          <w:p w:rsidR="004706C4" w:rsidRPr="007D68FF" w:rsidRDefault="004706C4" w:rsidP="00367596">
            <w:pPr>
              <w:jc w:val="center"/>
              <w:rPr>
                <w:b/>
              </w:rPr>
            </w:pPr>
            <w:r w:rsidRPr="007D68FF">
              <w:rPr>
                <w:b/>
              </w:rPr>
              <w:t>Hrsz.</w:t>
            </w:r>
          </w:p>
        </w:tc>
        <w:tc>
          <w:tcPr>
            <w:tcW w:w="620" w:type="pct"/>
            <w:vMerge w:val="restart"/>
          </w:tcPr>
          <w:p w:rsidR="004706C4" w:rsidRPr="007D68FF" w:rsidRDefault="004706C4" w:rsidP="00367596">
            <w:pPr>
              <w:jc w:val="center"/>
              <w:rPr>
                <w:b/>
              </w:rPr>
            </w:pPr>
            <w:r w:rsidRPr="007D68FF">
              <w:rPr>
                <w:b/>
              </w:rPr>
              <w:t>Művelési ág/ Kivett megnevezés</w:t>
            </w:r>
          </w:p>
        </w:tc>
        <w:tc>
          <w:tcPr>
            <w:tcW w:w="373" w:type="pct"/>
            <w:vMerge w:val="restart"/>
          </w:tcPr>
          <w:p w:rsidR="004706C4" w:rsidRPr="007D68FF" w:rsidRDefault="004706C4" w:rsidP="00367596">
            <w:pPr>
              <w:jc w:val="center"/>
              <w:rPr>
                <w:b/>
              </w:rPr>
            </w:pPr>
            <w:r w:rsidRPr="007D68FF">
              <w:rPr>
                <w:b/>
              </w:rPr>
              <w:t>Tul. hányad</w:t>
            </w:r>
          </w:p>
        </w:tc>
        <w:tc>
          <w:tcPr>
            <w:tcW w:w="610" w:type="pct"/>
            <w:vMerge w:val="restart"/>
          </w:tcPr>
          <w:p w:rsidR="004706C4" w:rsidRPr="007D68FF" w:rsidRDefault="004706C4" w:rsidP="00367596">
            <w:pPr>
              <w:jc w:val="center"/>
              <w:rPr>
                <w:b/>
              </w:rPr>
            </w:pPr>
            <w:r w:rsidRPr="007D68FF">
              <w:rPr>
                <w:b/>
              </w:rPr>
              <w:t>Terület</w:t>
            </w:r>
          </w:p>
          <w:p w:rsidR="004706C4" w:rsidRPr="007D68FF" w:rsidRDefault="004706C4" w:rsidP="00367596">
            <w:pPr>
              <w:jc w:val="center"/>
              <w:rPr>
                <w:b/>
              </w:rPr>
            </w:pPr>
            <w:r w:rsidRPr="007D68FF">
              <w:rPr>
                <w:b/>
              </w:rPr>
              <w:t>(m</w:t>
            </w:r>
            <w:r w:rsidRPr="007D68FF">
              <w:rPr>
                <w:b/>
                <w:vertAlign w:val="superscript"/>
              </w:rPr>
              <w:t>2</w:t>
            </w:r>
            <w:r w:rsidRPr="007D68FF">
              <w:rPr>
                <w:b/>
              </w:rPr>
              <w:t>)</w:t>
            </w:r>
          </w:p>
        </w:tc>
        <w:tc>
          <w:tcPr>
            <w:tcW w:w="992" w:type="pct"/>
            <w:vMerge w:val="restart"/>
          </w:tcPr>
          <w:p w:rsidR="004706C4" w:rsidRPr="007D68FF" w:rsidRDefault="004706C4" w:rsidP="00367596">
            <w:pPr>
              <w:jc w:val="center"/>
              <w:rPr>
                <w:b/>
              </w:rPr>
            </w:pPr>
            <w:r w:rsidRPr="007D68FF">
              <w:rPr>
                <w:b/>
              </w:rPr>
              <w:t>Becsült forgalmi érték</w:t>
            </w:r>
          </w:p>
          <w:p w:rsidR="004706C4" w:rsidRPr="007D68FF" w:rsidRDefault="004706C4" w:rsidP="00367596">
            <w:pPr>
              <w:jc w:val="center"/>
              <w:rPr>
                <w:b/>
              </w:rPr>
            </w:pPr>
            <w:r w:rsidRPr="007D68FF">
              <w:rPr>
                <w:b/>
              </w:rPr>
              <w:t>(Ft)</w:t>
            </w:r>
          </w:p>
        </w:tc>
        <w:tc>
          <w:tcPr>
            <w:tcW w:w="1126" w:type="pct"/>
            <w:gridSpan w:val="2"/>
          </w:tcPr>
          <w:p w:rsidR="004706C4" w:rsidRPr="007D68FF" w:rsidRDefault="004706C4" w:rsidP="00367596">
            <w:pPr>
              <w:jc w:val="center"/>
              <w:rPr>
                <w:b/>
              </w:rPr>
            </w:pPr>
            <w:r w:rsidRPr="007D68FF">
              <w:rPr>
                <w:b/>
              </w:rPr>
              <w:t>Nyilvántartási érték (Ft)</w:t>
            </w:r>
          </w:p>
        </w:tc>
      </w:tr>
      <w:tr w:rsidR="004706C4" w:rsidRPr="007D68FF" w:rsidTr="00A85704">
        <w:trPr>
          <w:trHeight w:val="413"/>
        </w:trPr>
        <w:tc>
          <w:tcPr>
            <w:tcW w:w="821" w:type="pct"/>
            <w:vMerge/>
          </w:tcPr>
          <w:p w:rsidR="004706C4" w:rsidRPr="007D68FF" w:rsidRDefault="004706C4" w:rsidP="00367596">
            <w:pPr>
              <w:ind w:right="-108"/>
              <w:jc w:val="center"/>
              <w:rPr>
                <w:b/>
              </w:rPr>
            </w:pPr>
          </w:p>
        </w:tc>
        <w:tc>
          <w:tcPr>
            <w:tcW w:w="458" w:type="pct"/>
            <w:vMerge/>
          </w:tcPr>
          <w:p w:rsidR="004706C4" w:rsidRPr="007D68FF" w:rsidRDefault="004706C4" w:rsidP="00367596">
            <w:pPr>
              <w:jc w:val="center"/>
              <w:rPr>
                <w:b/>
              </w:rPr>
            </w:pPr>
          </w:p>
        </w:tc>
        <w:tc>
          <w:tcPr>
            <w:tcW w:w="620" w:type="pct"/>
            <w:vMerge/>
          </w:tcPr>
          <w:p w:rsidR="004706C4" w:rsidRPr="007D68FF" w:rsidRDefault="004706C4" w:rsidP="00367596">
            <w:pPr>
              <w:jc w:val="center"/>
              <w:rPr>
                <w:b/>
              </w:rPr>
            </w:pPr>
          </w:p>
        </w:tc>
        <w:tc>
          <w:tcPr>
            <w:tcW w:w="373" w:type="pct"/>
            <w:vMerge/>
          </w:tcPr>
          <w:p w:rsidR="004706C4" w:rsidRPr="007D68FF" w:rsidRDefault="004706C4" w:rsidP="00367596">
            <w:pPr>
              <w:jc w:val="center"/>
              <w:rPr>
                <w:b/>
              </w:rPr>
            </w:pPr>
          </w:p>
        </w:tc>
        <w:tc>
          <w:tcPr>
            <w:tcW w:w="610" w:type="pct"/>
            <w:vMerge/>
          </w:tcPr>
          <w:p w:rsidR="004706C4" w:rsidRPr="007D68FF" w:rsidRDefault="004706C4" w:rsidP="00367596">
            <w:pPr>
              <w:jc w:val="center"/>
              <w:rPr>
                <w:b/>
              </w:rPr>
            </w:pPr>
          </w:p>
        </w:tc>
        <w:tc>
          <w:tcPr>
            <w:tcW w:w="992" w:type="pct"/>
            <w:vMerge/>
          </w:tcPr>
          <w:p w:rsidR="004706C4" w:rsidRPr="007D68FF" w:rsidRDefault="004706C4" w:rsidP="00367596">
            <w:pPr>
              <w:jc w:val="center"/>
              <w:rPr>
                <w:b/>
              </w:rPr>
            </w:pPr>
          </w:p>
        </w:tc>
        <w:tc>
          <w:tcPr>
            <w:tcW w:w="534" w:type="pct"/>
          </w:tcPr>
          <w:p w:rsidR="004706C4" w:rsidRPr="007D68FF" w:rsidRDefault="004706C4" w:rsidP="00367596">
            <w:pPr>
              <w:jc w:val="center"/>
              <w:rPr>
                <w:b/>
              </w:rPr>
            </w:pPr>
            <w:r w:rsidRPr="007D68FF">
              <w:rPr>
                <w:b/>
              </w:rPr>
              <w:t>Bruttó</w:t>
            </w:r>
          </w:p>
        </w:tc>
        <w:tc>
          <w:tcPr>
            <w:tcW w:w="592" w:type="pct"/>
          </w:tcPr>
          <w:p w:rsidR="004706C4" w:rsidRPr="007D68FF" w:rsidRDefault="004706C4" w:rsidP="00367596">
            <w:pPr>
              <w:jc w:val="center"/>
              <w:rPr>
                <w:b/>
              </w:rPr>
            </w:pPr>
            <w:r w:rsidRPr="007D68FF">
              <w:rPr>
                <w:b/>
              </w:rPr>
              <w:t>Nettó</w:t>
            </w:r>
          </w:p>
        </w:tc>
      </w:tr>
      <w:tr w:rsidR="004706C4" w:rsidRPr="007D68FF" w:rsidTr="00A85704">
        <w:tc>
          <w:tcPr>
            <w:tcW w:w="821" w:type="pct"/>
            <w:vAlign w:val="center"/>
          </w:tcPr>
          <w:p w:rsidR="004706C4" w:rsidRPr="0009014C" w:rsidRDefault="004706C4" w:rsidP="000038BE">
            <w:pPr>
              <w:rPr>
                <w:sz w:val="20"/>
                <w:szCs w:val="20"/>
              </w:rPr>
            </w:pPr>
            <w:r>
              <w:rPr>
                <w:sz w:val="20"/>
                <w:szCs w:val="20"/>
              </w:rPr>
              <w:t>Szombathely</w:t>
            </w:r>
          </w:p>
        </w:tc>
        <w:tc>
          <w:tcPr>
            <w:tcW w:w="458" w:type="pct"/>
            <w:vAlign w:val="center"/>
          </w:tcPr>
          <w:p w:rsidR="004706C4" w:rsidRPr="0009014C" w:rsidRDefault="004706C4" w:rsidP="000038BE">
            <w:pPr>
              <w:rPr>
                <w:sz w:val="20"/>
                <w:szCs w:val="20"/>
              </w:rPr>
            </w:pPr>
            <w:r>
              <w:rPr>
                <w:sz w:val="20"/>
                <w:szCs w:val="20"/>
              </w:rPr>
              <w:t>7029/3</w:t>
            </w:r>
          </w:p>
        </w:tc>
        <w:tc>
          <w:tcPr>
            <w:tcW w:w="620" w:type="pct"/>
            <w:vAlign w:val="center"/>
          </w:tcPr>
          <w:p w:rsidR="004706C4" w:rsidRPr="0009014C" w:rsidRDefault="004706C4" w:rsidP="00367596">
            <w:pPr>
              <w:jc w:val="center"/>
              <w:rPr>
                <w:sz w:val="20"/>
                <w:szCs w:val="20"/>
              </w:rPr>
            </w:pPr>
            <w:r w:rsidRPr="0009014C">
              <w:rPr>
                <w:sz w:val="20"/>
                <w:szCs w:val="20"/>
              </w:rPr>
              <w:t>kivet</w:t>
            </w:r>
            <w:r>
              <w:rPr>
                <w:sz w:val="20"/>
                <w:szCs w:val="20"/>
              </w:rPr>
              <w:t xml:space="preserve">t </w:t>
            </w:r>
            <w:r w:rsidRPr="0009014C">
              <w:rPr>
                <w:sz w:val="20"/>
                <w:szCs w:val="20"/>
              </w:rPr>
              <w:t>udvar</w:t>
            </w:r>
          </w:p>
        </w:tc>
        <w:tc>
          <w:tcPr>
            <w:tcW w:w="373" w:type="pct"/>
            <w:vAlign w:val="center"/>
          </w:tcPr>
          <w:p w:rsidR="004706C4" w:rsidRPr="0009014C" w:rsidRDefault="004706C4" w:rsidP="00367596">
            <w:pPr>
              <w:jc w:val="center"/>
              <w:rPr>
                <w:sz w:val="20"/>
                <w:szCs w:val="20"/>
              </w:rPr>
            </w:pPr>
            <w:r w:rsidRPr="0009014C">
              <w:rPr>
                <w:sz w:val="20"/>
                <w:szCs w:val="20"/>
              </w:rPr>
              <w:t>1/1</w:t>
            </w:r>
          </w:p>
        </w:tc>
        <w:tc>
          <w:tcPr>
            <w:tcW w:w="610" w:type="pct"/>
            <w:vAlign w:val="center"/>
          </w:tcPr>
          <w:p w:rsidR="004706C4" w:rsidRPr="0009014C" w:rsidRDefault="004706C4" w:rsidP="00367596">
            <w:pPr>
              <w:jc w:val="center"/>
              <w:rPr>
                <w:sz w:val="20"/>
                <w:szCs w:val="20"/>
              </w:rPr>
            </w:pPr>
            <w:r>
              <w:rPr>
                <w:sz w:val="20"/>
                <w:szCs w:val="20"/>
              </w:rPr>
              <w:t>871</w:t>
            </w:r>
          </w:p>
        </w:tc>
        <w:tc>
          <w:tcPr>
            <w:tcW w:w="992" w:type="pct"/>
            <w:vAlign w:val="center"/>
          </w:tcPr>
          <w:p w:rsidR="004706C4" w:rsidRPr="0009014C" w:rsidRDefault="004706C4" w:rsidP="00D06260">
            <w:pPr>
              <w:rPr>
                <w:sz w:val="20"/>
                <w:szCs w:val="20"/>
              </w:rPr>
            </w:pPr>
            <w:r>
              <w:rPr>
                <w:sz w:val="20"/>
                <w:szCs w:val="20"/>
              </w:rPr>
              <w:t>5.700.000</w:t>
            </w:r>
          </w:p>
        </w:tc>
        <w:tc>
          <w:tcPr>
            <w:tcW w:w="534" w:type="pct"/>
            <w:vAlign w:val="center"/>
          </w:tcPr>
          <w:p w:rsidR="004706C4" w:rsidRPr="0009014C" w:rsidRDefault="004706C4" w:rsidP="00D1632F">
            <w:pPr>
              <w:rPr>
                <w:color w:val="000000"/>
                <w:sz w:val="20"/>
                <w:szCs w:val="20"/>
              </w:rPr>
            </w:pPr>
            <w:r>
              <w:rPr>
                <w:color w:val="000000"/>
                <w:sz w:val="20"/>
                <w:szCs w:val="20"/>
              </w:rPr>
              <w:t>1.000,-</w:t>
            </w:r>
          </w:p>
        </w:tc>
        <w:tc>
          <w:tcPr>
            <w:tcW w:w="592" w:type="pct"/>
            <w:vAlign w:val="center"/>
          </w:tcPr>
          <w:p w:rsidR="004706C4" w:rsidRPr="0009014C" w:rsidRDefault="004706C4" w:rsidP="00D1632F">
            <w:pPr>
              <w:rPr>
                <w:color w:val="000000"/>
                <w:sz w:val="20"/>
                <w:szCs w:val="20"/>
              </w:rPr>
            </w:pPr>
            <w:r>
              <w:rPr>
                <w:color w:val="000000"/>
                <w:sz w:val="20"/>
                <w:szCs w:val="20"/>
              </w:rPr>
              <w:t>1.000,-</w:t>
            </w:r>
          </w:p>
        </w:tc>
      </w:tr>
    </w:tbl>
    <w:p w:rsidR="004706C4" w:rsidRDefault="004706C4" w:rsidP="00FB2104">
      <w:pPr>
        <w:jc w:val="both"/>
        <w:rPr>
          <w:b/>
          <w:u w:val="single"/>
        </w:rPr>
      </w:pPr>
    </w:p>
    <w:p w:rsidR="004706C4" w:rsidRDefault="004706C4" w:rsidP="00FB2104">
      <w:pPr>
        <w:jc w:val="both"/>
      </w:pPr>
      <w:r w:rsidRPr="00670DDE">
        <w:t>Az ingatlan tulajdoni lapjának III. részére a Vas Megyei Gabonaforgalmi és Malomipari Vállalat javára átjárási szolgalmi jog van</w:t>
      </w:r>
      <w:r>
        <w:t xml:space="preserve"> bejegyezve, valamint elővásárlási jog Szombathely Megyei jogú Város Önkormányzata javára. A tulajdoni lap I. részére teherként a Szombathely 7029/6 hrsz-ú ingatlant illető útszolgalmi jog van bejegyezve a Vas Megyei Gabonaforgalmi és Malomipari Vállalat javára.</w:t>
      </w:r>
    </w:p>
    <w:p w:rsidR="004706C4" w:rsidRDefault="004706C4" w:rsidP="00FB2104">
      <w:pPr>
        <w:jc w:val="both"/>
      </w:pPr>
    </w:p>
    <w:p w:rsidR="004706C4" w:rsidRDefault="004706C4" w:rsidP="00FB2104">
      <w:pPr>
        <w:jc w:val="both"/>
      </w:pPr>
      <w:r>
        <w:t>Az ingatlan tulajdonjogát annak a ténynek az ismeretében kívánja az Önkormányzat megszerezni, hogy a Szombathely, belterület 7029/6 hrsz-ú ingatlanra épített könnyűszerkezetes csarnok egy része túlépítés miatt átnyúlik a tulajdonba adással érintett Szombathely, belterület, 7029/3 hrsz-ú ingatlanra.</w:t>
      </w:r>
    </w:p>
    <w:p w:rsidR="004706C4" w:rsidRPr="00670DDE" w:rsidRDefault="004706C4" w:rsidP="00FB2104">
      <w:pPr>
        <w:jc w:val="both"/>
      </w:pPr>
    </w:p>
    <w:p w:rsidR="004706C4" w:rsidRDefault="004706C4" w:rsidP="00FB2104">
      <w:pPr>
        <w:jc w:val="both"/>
        <w:rPr>
          <w:b/>
          <w:u w:val="single"/>
        </w:rPr>
      </w:pPr>
    </w:p>
    <w:p w:rsidR="004706C4" w:rsidRPr="007D68FF" w:rsidRDefault="004706C4" w:rsidP="00FB2104">
      <w:pPr>
        <w:jc w:val="both"/>
        <w:rPr>
          <w:b/>
          <w:u w:val="single"/>
        </w:rPr>
      </w:pPr>
      <w:r w:rsidRPr="007D68FF">
        <w:rPr>
          <w:b/>
          <w:u w:val="single"/>
        </w:rPr>
        <w:t>III. Az Ingatlan átadása:</w:t>
      </w:r>
    </w:p>
    <w:p w:rsidR="004706C4" w:rsidRPr="007D68FF" w:rsidRDefault="004706C4" w:rsidP="00FB2104">
      <w:pPr>
        <w:jc w:val="both"/>
        <w:rPr>
          <w:b/>
          <w:u w:val="single"/>
        </w:rPr>
      </w:pPr>
    </w:p>
    <w:p w:rsidR="004706C4" w:rsidRPr="007D68FF" w:rsidRDefault="004706C4" w:rsidP="00FB2104">
      <w:pPr>
        <w:jc w:val="both"/>
        <w:rPr>
          <w:color w:val="1F497D"/>
        </w:rPr>
      </w:pPr>
      <w:r w:rsidRPr="007D68FF">
        <w:rPr>
          <w:b/>
        </w:rPr>
        <w:t>III.1.</w:t>
      </w:r>
      <w:r w:rsidRPr="007D68FF">
        <w:t xml:space="preserve"> Az MNV Zrt. kijelenti, hogy az Ingatlan tulajdonjogát ingyenesen átadja az Önkormányzat részére, az Önkormányzat pedig azt átveszi. Felek tudomásul veszik, hogy az Önkormányzat a </w:t>
      </w:r>
      <w:r w:rsidRPr="007D68FF">
        <w:rPr>
          <w:bCs/>
        </w:rPr>
        <w:t>tulajdonjogának</w:t>
      </w:r>
      <w:r w:rsidRPr="007D68FF">
        <w:t xml:space="preserve"> az ingatlan-nyilvántartásba történő bejegyzésével válik az Ingatlan tulajdonosává.</w:t>
      </w:r>
    </w:p>
    <w:p w:rsidR="004706C4" w:rsidRPr="007D68FF" w:rsidRDefault="004706C4" w:rsidP="00FB2104">
      <w:pPr>
        <w:jc w:val="both"/>
      </w:pPr>
    </w:p>
    <w:p w:rsidR="004706C4" w:rsidRPr="007D68FF" w:rsidRDefault="004706C4" w:rsidP="00FB2104">
      <w:pPr>
        <w:jc w:val="both"/>
      </w:pPr>
      <w:r w:rsidRPr="007D68FF">
        <w:rPr>
          <w:b/>
        </w:rPr>
        <w:t>III.2.</w:t>
      </w:r>
      <w:r w:rsidRPr="007D68FF">
        <w:t xml:space="preserve"> Az Önkormányzat kijelenti, hogy az Ingatlant a jelen megállapodás I.3. pontjában foglaltaknak megfelelően kívánja használni.</w:t>
      </w:r>
    </w:p>
    <w:p w:rsidR="004706C4" w:rsidRPr="007D68FF" w:rsidRDefault="004706C4" w:rsidP="00FB2104">
      <w:pPr>
        <w:jc w:val="both"/>
      </w:pPr>
    </w:p>
    <w:p w:rsidR="004706C4" w:rsidRPr="007D68FF" w:rsidRDefault="004706C4" w:rsidP="00FB2104">
      <w:pPr>
        <w:jc w:val="both"/>
      </w:pPr>
      <w:r w:rsidRPr="007D68FF">
        <w:rPr>
          <w:b/>
        </w:rPr>
        <w:t>III.3.</w:t>
      </w:r>
      <w:r w:rsidRPr="007D68FF">
        <w:t xml:space="preserve"> Az Önkormányzat tudomásul veszi, hogy az Ingatlan tulajdonba vételével, a birtokbaadással, valamint a tulajdonjog átruházás ingatlan-nyilvántartási bejegyzésével kapcsolatos költségek – ide értve az Ingatlan becsült forgalmi értékének megállapításának költségét is – az Önkormányzatot terhelik.</w:t>
      </w:r>
    </w:p>
    <w:p w:rsidR="004706C4" w:rsidRDefault="004706C4" w:rsidP="00FB2104">
      <w:pPr>
        <w:jc w:val="both"/>
      </w:pPr>
    </w:p>
    <w:p w:rsidR="004706C4" w:rsidRDefault="004706C4" w:rsidP="00FB2104">
      <w:pPr>
        <w:jc w:val="both"/>
      </w:pPr>
    </w:p>
    <w:p w:rsidR="004706C4" w:rsidRDefault="004706C4" w:rsidP="00FB2104">
      <w:pPr>
        <w:jc w:val="both"/>
      </w:pPr>
    </w:p>
    <w:p w:rsidR="004706C4" w:rsidRPr="007D68FF" w:rsidRDefault="004706C4" w:rsidP="00FB2104">
      <w:pPr>
        <w:jc w:val="both"/>
      </w:pPr>
    </w:p>
    <w:p w:rsidR="004706C4" w:rsidRPr="007D68FF" w:rsidRDefault="004706C4" w:rsidP="00FB2104">
      <w:pPr>
        <w:jc w:val="both"/>
      </w:pPr>
      <w:r w:rsidRPr="007D68FF">
        <w:rPr>
          <w:b/>
        </w:rPr>
        <w:t xml:space="preserve">III.4. </w:t>
      </w:r>
      <w:r w:rsidRPr="007D68FF">
        <w:t>Szerződő Felek kije</w:t>
      </w:r>
      <w:r>
        <w:t xml:space="preserve">lentik, hogy a Korm. határozat </w:t>
      </w:r>
      <w:r w:rsidRPr="003D368B">
        <w:t>3.</w:t>
      </w:r>
      <w:r w:rsidRPr="007D68FF">
        <w:t xml:space="preserve"> pont első bekezdésben meghatározott tájékoztatási kötelezettségének az MNV Zrt. a jelen megállapodás megkötését megelőzően, az </w:t>
      </w:r>
      <w:r w:rsidRPr="003D368B">
        <w:t>MNV/18/431/0/2012.</w:t>
      </w:r>
      <w:r w:rsidRPr="007D68FF">
        <w:t xml:space="preserve"> ügyiratszámú levelében eleget tett.</w:t>
      </w:r>
    </w:p>
    <w:p w:rsidR="004706C4" w:rsidRPr="007D68FF" w:rsidRDefault="004706C4" w:rsidP="00FB2104">
      <w:pPr>
        <w:jc w:val="both"/>
        <w:rPr>
          <w:b/>
        </w:rPr>
      </w:pPr>
    </w:p>
    <w:p w:rsidR="004706C4" w:rsidRPr="007D68FF" w:rsidRDefault="004706C4" w:rsidP="00FB2104">
      <w:pPr>
        <w:jc w:val="both"/>
      </w:pPr>
      <w:r w:rsidRPr="007D68FF">
        <w:rPr>
          <w:b/>
        </w:rPr>
        <w:t>III.5.</w:t>
      </w:r>
      <w:r w:rsidRPr="007D68FF">
        <w:t xml:space="preserve"> Az Ingatlan birtokba adása Szerződő Felek részvételével, átadás-átvételi jegyzőkönyv felvételével történik a jelen megállapodás hatálybalépésétől számított 30 napon belül előre egyeztetett időpontban. A birtokbaadási eljárást az MNV Zrt. részérő az MNV Zrt. </w:t>
      </w:r>
      <w:r w:rsidRPr="003D368B">
        <w:t>Vas</w:t>
      </w:r>
      <w:r w:rsidRPr="007D68FF">
        <w:t xml:space="preserve"> </w:t>
      </w:r>
      <w:r w:rsidRPr="003D368B">
        <w:t>Megyei Területi Irodájának</w:t>
      </w:r>
      <w:r w:rsidRPr="007D68FF">
        <w:t xml:space="preserve"> képviselője bonyolítja le.</w:t>
      </w:r>
    </w:p>
    <w:p w:rsidR="004706C4" w:rsidRDefault="004706C4" w:rsidP="00FB2104">
      <w:pPr>
        <w:jc w:val="both"/>
      </w:pPr>
    </w:p>
    <w:p w:rsidR="004706C4" w:rsidRPr="007D68FF" w:rsidRDefault="004706C4" w:rsidP="00FB2104">
      <w:pPr>
        <w:jc w:val="both"/>
      </w:pPr>
    </w:p>
    <w:p w:rsidR="004706C4" w:rsidRPr="007D68FF" w:rsidRDefault="004706C4" w:rsidP="00FB2104">
      <w:pPr>
        <w:jc w:val="both"/>
        <w:rPr>
          <w:b/>
          <w:u w:val="single"/>
        </w:rPr>
      </w:pPr>
      <w:r w:rsidRPr="007D68FF">
        <w:rPr>
          <w:b/>
          <w:u w:val="single"/>
        </w:rPr>
        <w:t>IV. További nyilatkozatok:</w:t>
      </w:r>
    </w:p>
    <w:p w:rsidR="004706C4" w:rsidRPr="007D68FF" w:rsidRDefault="004706C4" w:rsidP="00FB2104">
      <w:pPr>
        <w:jc w:val="both"/>
        <w:rPr>
          <w:b/>
          <w:u w:val="single"/>
        </w:rPr>
      </w:pPr>
    </w:p>
    <w:p w:rsidR="004706C4" w:rsidRPr="007D68FF" w:rsidRDefault="004706C4" w:rsidP="00FB2104">
      <w:pPr>
        <w:jc w:val="both"/>
      </w:pPr>
      <w:r w:rsidRPr="007D68FF">
        <w:rPr>
          <w:b/>
        </w:rPr>
        <w:t>IV.1.</w:t>
      </w:r>
      <w:r w:rsidRPr="007D68FF">
        <w:t xml:space="preserve"> Az MNV Zrt. jelen megállapodás hatálybalépésével egyidejűleg feltétlen és visszavonhatatlan hozzájárulását adja, hogy a/az </w:t>
      </w:r>
      <w:r w:rsidRPr="003D368B">
        <w:t>7029/3 hrsz.-ú ingatlan 1/1 arányú</w:t>
      </w:r>
      <w:r w:rsidRPr="007D68FF">
        <w:t xml:space="preserve"> kizárólagos tulajdoni hányadára vonatkozóan a Magyar Állam tulajdonjoga</w:t>
      </w:r>
      <w:r>
        <w:t xml:space="preserve"> és az MNV Zrt. vagyonkezelői joga</w:t>
      </w:r>
      <w:r w:rsidRPr="007D68FF">
        <w:t xml:space="preserve"> az ingatlan-nyilvántartásból törlésre, az Önkormányzat tulajdonjoga ingyenes tulajdonba adás jogcímén az ingatlan-nyilvántartásba bejegyzésre kerüljön.</w:t>
      </w:r>
    </w:p>
    <w:p w:rsidR="004706C4" w:rsidRPr="007D68FF" w:rsidRDefault="004706C4" w:rsidP="00FB2104">
      <w:pPr>
        <w:jc w:val="both"/>
      </w:pPr>
    </w:p>
    <w:p w:rsidR="004706C4" w:rsidRPr="007D68FF" w:rsidRDefault="004706C4" w:rsidP="00FB2104">
      <w:pPr>
        <w:pStyle w:val="BodyText"/>
        <w:ind w:right="50"/>
        <w:rPr>
          <w:rFonts w:ascii="Times New Roman" w:hAnsi="Times New Roman"/>
          <w:szCs w:val="24"/>
        </w:rPr>
      </w:pPr>
      <w:r w:rsidRPr="007D68FF">
        <w:rPr>
          <w:rFonts w:ascii="Times New Roman" w:hAnsi="Times New Roman"/>
          <w:b/>
          <w:szCs w:val="24"/>
        </w:rPr>
        <w:t>IV.2. .</w:t>
      </w:r>
      <w:r w:rsidRPr="007D68FF">
        <w:rPr>
          <w:rFonts w:ascii="Times New Roman" w:hAnsi="Times New Roman"/>
          <w:szCs w:val="24"/>
        </w:rPr>
        <w:t xml:space="preserve"> Az Önkormányzat tudomásul veszi, hogy az Ingatlanon a nemzeti vagyonról szóló 2011. évi CXCVI. törvény (továbbiakban: Nvt.) 13. § (5) bekezdése alapján a tulajdonjog megszerzésétől – az Önkormányzat tulajdonjogának ingatlan-nyilvántartási bejegyzésétől – számított 15 évig a törvény erejénél fogva elidegenítési tilalom áll fenn. Az elidegenítési tilalom az Nvt. 13. § (9) bekezdése alapján a Magyar Állam által történő tulajdonszerzésre nem terjed ki.</w:t>
      </w:r>
    </w:p>
    <w:p w:rsidR="004706C4" w:rsidRPr="007D68FF" w:rsidRDefault="004706C4" w:rsidP="00FB2104">
      <w:pPr>
        <w:pStyle w:val="BodyText"/>
        <w:ind w:right="50"/>
        <w:rPr>
          <w:rFonts w:ascii="Times New Roman" w:hAnsi="Times New Roman"/>
          <w:szCs w:val="24"/>
        </w:rPr>
      </w:pPr>
      <w:r w:rsidRPr="007D68FF">
        <w:rPr>
          <w:rFonts w:ascii="Times New Roman" w:hAnsi="Times New Roman"/>
          <w:szCs w:val="24"/>
        </w:rPr>
        <w:t xml:space="preserve"> </w:t>
      </w:r>
    </w:p>
    <w:p w:rsidR="004706C4" w:rsidRPr="007D68FF" w:rsidRDefault="004706C4" w:rsidP="00FB2104">
      <w:pPr>
        <w:jc w:val="both"/>
      </w:pPr>
      <w:r w:rsidRPr="007D68FF">
        <w:t>A szerződő Felek jelen megállapodás aláírásával feltétlenül és visszavonhatatlanul hozzájárulnak, és kölcsönösen kérik, hogy a Magyar Állam javára a jelen szerződés alapján történő tulajdonszerzéstől számított 15 évig az Ingatlanra elidegenítési tilalom kerüljön feljegyzésre az ingatlan-nyilvántartásba.</w:t>
      </w:r>
    </w:p>
    <w:p w:rsidR="004706C4" w:rsidRPr="007D68FF" w:rsidRDefault="004706C4" w:rsidP="00FB2104">
      <w:pPr>
        <w:jc w:val="both"/>
      </w:pPr>
    </w:p>
    <w:p w:rsidR="004706C4" w:rsidRPr="007D68FF" w:rsidRDefault="004706C4" w:rsidP="00FB2104">
      <w:pPr>
        <w:pStyle w:val="BodyText"/>
        <w:ind w:right="50"/>
        <w:rPr>
          <w:rFonts w:ascii="Times New Roman" w:hAnsi="Times New Roman"/>
          <w:szCs w:val="24"/>
        </w:rPr>
      </w:pPr>
      <w:r w:rsidRPr="007D68FF">
        <w:rPr>
          <w:rFonts w:ascii="Times New Roman" w:hAnsi="Times New Roman"/>
          <w:b/>
          <w:szCs w:val="24"/>
        </w:rPr>
        <w:t>IV.3.</w:t>
      </w:r>
      <w:r w:rsidRPr="007D68FF">
        <w:rPr>
          <w:rFonts w:ascii="Times New Roman" w:hAnsi="Times New Roman"/>
          <w:szCs w:val="24"/>
        </w:rPr>
        <w:t xml:space="preserve"> Az Önkormányzat kijelenti, hogy a jelen megállapodás általa történő aláírásának időpontjában az adózás rendjéről szóló 2003. évi XCII. tv. 178. § 32. pontja szerint köztartozásmentes adózónak minősül. A köztartozással kapcsolatos kizáró feltétel fennállásának hiányát az Önkormányzat 30 napnál nem régebben kiállított közokirattal igazolja vagy nyilatkozik arról, hogy szerepel a köztartozásmentes adózói adatbázisban. Az MNV Zrt. ennek alapján megállapítja, hogy az Önkormányzat köztartozásmentes minősége hitelt érdemlően igazolt és az MNV Zrt-vel szemben nincs lejárt tartozása. Az Nvt. 13. § (2) bekezdése szerint nemzeti vagyon tulajdonjogát átruházni természetes személy vagy átlátható szervezet részére lehet. Az Nvt. 3. § (1) bekezdés 1.af) pontja értelmében a helyi önkormányzatok átlátható szervezetnek minősülnek, így az Önkormányzat részére a nemzeti vagyon tulajdonjoga – az e pont szerinti egyéb előfeltételek teljesítése esetén – átruházható.</w:t>
      </w:r>
    </w:p>
    <w:p w:rsidR="004706C4" w:rsidRPr="007D68FF" w:rsidRDefault="004706C4" w:rsidP="00FB2104">
      <w:pPr>
        <w:pStyle w:val="BodyText"/>
        <w:ind w:right="50"/>
        <w:rPr>
          <w:rFonts w:ascii="Times New Roman" w:hAnsi="Times New Roman"/>
          <w:szCs w:val="24"/>
        </w:rPr>
      </w:pPr>
    </w:p>
    <w:p w:rsidR="004706C4" w:rsidRPr="007D68FF" w:rsidRDefault="004706C4" w:rsidP="00FB2104">
      <w:pPr>
        <w:jc w:val="both"/>
        <w:rPr>
          <w:b/>
          <w:u w:val="single"/>
        </w:rPr>
      </w:pPr>
      <w:r w:rsidRPr="007D68FF">
        <w:rPr>
          <w:b/>
          <w:u w:val="single"/>
        </w:rPr>
        <w:t>V. Kötelezettségvállalások:</w:t>
      </w:r>
    </w:p>
    <w:p w:rsidR="004706C4" w:rsidRPr="007D68FF" w:rsidRDefault="004706C4" w:rsidP="00FB2104">
      <w:pPr>
        <w:jc w:val="both"/>
        <w:rPr>
          <w:b/>
          <w:u w:val="single"/>
        </w:rPr>
      </w:pPr>
    </w:p>
    <w:p w:rsidR="004706C4" w:rsidRPr="007D68FF" w:rsidRDefault="004706C4" w:rsidP="00FB2104">
      <w:pPr>
        <w:jc w:val="both"/>
      </w:pPr>
      <w:r w:rsidRPr="007D68FF">
        <w:rPr>
          <w:b/>
        </w:rPr>
        <w:t>V.1.</w:t>
      </w:r>
      <w:r w:rsidRPr="007D68FF">
        <w:t xml:space="preserve"> Az Önkormányzat tudomásul veszi, hogy az Ingatlan tulajdonjogát a fennálló terhekkel és kötelezettségekkel együtt szerzi meg. </w:t>
      </w:r>
    </w:p>
    <w:p w:rsidR="004706C4" w:rsidRPr="007D68FF" w:rsidRDefault="004706C4" w:rsidP="00FB2104">
      <w:pPr>
        <w:jc w:val="both"/>
      </w:pPr>
    </w:p>
    <w:p w:rsidR="004706C4" w:rsidRPr="007D68FF" w:rsidRDefault="004706C4" w:rsidP="00FB2104">
      <w:pPr>
        <w:jc w:val="both"/>
      </w:pPr>
      <w:r w:rsidRPr="007D68FF">
        <w:rPr>
          <w:b/>
        </w:rPr>
        <w:t>V.2.</w:t>
      </w:r>
      <w:r w:rsidRPr="007D68FF">
        <w:t xml:space="preserve"> Az Önkormányzat kijelenti, hogy az Ingatlan meglévő, a szerződéskötés időpontjában fennálló műszaki és egyéb állapotát ismeri és azt jelen állapotában, valamint környezetvédelmi, tűzszerészeti, vegyvédelmi és esetleges egyéb szennyeződéstől való mentesítés nélkül veszi a tulajdonába. Az Önkormányzat kijelenti, hogy saját költségvetése terhére vállalja az Ingatlan környezeti állapotának felmérését, szükség esetén kármentesítését, illetve ha az Ingatlanon tervezett tevékenység engedélyköteles, akkor a szükséges engedély(ek) megszerzését, az ingatlan ingyenes tulajdonba adásával összefüggésben esetlegesen felmerülő általános forgalmi adó megfizetését.</w:t>
      </w:r>
    </w:p>
    <w:p w:rsidR="004706C4" w:rsidRPr="007D68FF" w:rsidRDefault="004706C4" w:rsidP="00FB2104">
      <w:pPr>
        <w:jc w:val="both"/>
      </w:pPr>
    </w:p>
    <w:p w:rsidR="004706C4" w:rsidRPr="007D68FF" w:rsidRDefault="004706C4" w:rsidP="00FB2104">
      <w:pPr>
        <w:jc w:val="both"/>
      </w:pPr>
      <w:r w:rsidRPr="007D68FF">
        <w:rPr>
          <w:b/>
        </w:rPr>
        <w:t>V.3.</w:t>
      </w:r>
      <w:r w:rsidRPr="007D68FF">
        <w:t xml:space="preserve"> Az Önkormányzat vállalja, hogy az Ingatlan vonatkozásában a Magyar Állammal szemben semmilyen követelést nem támaszt.</w:t>
      </w:r>
    </w:p>
    <w:p w:rsidR="004706C4" w:rsidRPr="007D68FF" w:rsidRDefault="004706C4" w:rsidP="00FB2104">
      <w:pPr>
        <w:jc w:val="both"/>
      </w:pPr>
    </w:p>
    <w:p w:rsidR="004706C4" w:rsidRDefault="004706C4" w:rsidP="00FB2104">
      <w:pPr>
        <w:jc w:val="both"/>
      </w:pPr>
      <w:r w:rsidRPr="007D68FF">
        <w:rPr>
          <w:b/>
        </w:rPr>
        <w:t>V.4.</w:t>
      </w:r>
      <w:r w:rsidRPr="007D68FF">
        <w:t xml:space="preserve"> Az Ingatlant az Önkormányzat a tulajdonjog megszerzésétől számított 15 évig nem idegenítheti el (ideértve az ellenérték nélkül történő elidegenítést és az apportálást is), továbbá azt a tulajdonjog megszerzésétől számított 15 évig a juttatási célnak (az I.3. pontban meghatározott hasznosítási célnak) megfelelően köteles hasznosítani, valamint állagát megóvni. Ha az Ingatlan birtokba adásának időpontja a tulajdonjog megszerzésének időpontját megelőzi, a jelen pontban rögzített kötelezettségeinek az Önkormányzat a birtokbaadás és a tulajdonjog megszerzésének időpontja között is köteles eleget tenni. </w:t>
      </w:r>
    </w:p>
    <w:p w:rsidR="004706C4" w:rsidRDefault="004706C4" w:rsidP="00FB2104">
      <w:pPr>
        <w:jc w:val="both"/>
      </w:pPr>
    </w:p>
    <w:p w:rsidR="004706C4" w:rsidRPr="007D68FF" w:rsidRDefault="004706C4" w:rsidP="00FB2104">
      <w:pPr>
        <w:jc w:val="both"/>
      </w:pPr>
      <w:r w:rsidRPr="007D68FF">
        <w:rPr>
          <w:b/>
        </w:rPr>
        <w:t>V.5.</w:t>
      </w:r>
      <w:r w:rsidRPr="007D68FF">
        <w:t xml:space="preserve"> Amennyiben az Önkormányzat a célhoz kötött</w:t>
      </w:r>
      <w:r>
        <w:t xml:space="preserve"> hasznosításra vonatkozó – V. 4.</w:t>
      </w:r>
      <w:r w:rsidRPr="007D68FF">
        <w:t xml:space="preserve"> pont szerinti </w:t>
      </w:r>
      <w:r>
        <w:t xml:space="preserve"> </w:t>
      </w:r>
      <w:r w:rsidRPr="007D68FF">
        <w:t>–kötelezettségeinek részben vagy egészben nem tesz eleget vagy az Ingatlant nem hasznosítja, köteles az MNV Zrt. felszólítására, az abban meghatározott határidőig a jogsértő állapotot megszüntetni. A jogsértő állapot megszüntetésére szabott határidő elmulasztása esetén az Önkormányzat köteles a II. pontban rögzített becsült forgalmi értéknek a kötelezettség megsértésének napjától számított, a mindenkori jegybanki alapkamattal növelt összegét az MNV Zrt-nek a felszólítás kézhezvételétől számított 60 napon belül nemteljesítési kötbérként megfizetni.</w:t>
      </w:r>
    </w:p>
    <w:p w:rsidR="004706C4" w:rsidRPr="007D68FF" w:rsidRDefault="004706C4" w:rsidP="00FB2104">
      <w:pPr>
        <w:jc w:val="both"/>
      </w:pPr>
    </w:p>
    <w:p w:rsidR="004706C4" w:rsidRPr="007D68FF" w:rsidRDefault="004706C4" w:rsidP="00FB2104">
      <w:pPr>
        <w:jc w:val="both"/>
      </w:pPr>
      <w:r w:rsidRPr="007D68FF">
        <w:rPr>
          <w:b/>
        </w:rPr>
        <w:t>V.6.</w:t>
      </w:r>
      <w:r w:rsidRPr="007D68FF">
        <w:t xml:space="preserve"> Az Önkormányzat tudomásul veszi, hogy az MNV Zrt. a jogsértő állapot határidőre történő megszüntetésének elmulasztása esetén – az V.5. pont szerinti nemteljesítési kötbér követelése helyett – a jelen megállapodástól elállhat. Amennyiben az MNV Zrt. elállási jogát gyakorolja, az Önkormányzat a Magyar Állammal (az MNV Zrt-vel) szemben megtérítési igénnyel vagy egyéb követeléssel nem élhet, köteles ugyanakkor az Ingatlanban bekövetkezett értékcsökkenés összegét az MNV Zrt.-nek megfizetni, amennyiben az értékcsökkenés az Ingatlan nem a felhasználási célnak megfelelő hasznosítására, továbbá a hasznosítási vagy az állagmegóvási kötelezettség elmulasztására vezethető vissza.</w:t>
      </w:r>
    </w:p>
    <w:p w:rsidR="004706C4" w:rsidRPr="007D68FF" w:rsidRDefault="004706C4" w:rsidP="00FB2104">
      <w:pPr>
        <w:jc w:val="both"/>
        <w:rPr>
          <w:b/>
        </w:rPr>
      </w:pPr>
    </w:p>
    <w:p w:rsidR="004706C4" w:rsidRPr="007D68FF" w:rsidRDefault="004706C4" w:rsidP="00FB2104">
      <w:pPr>
        <w:jc w:val="both"/>
      </w:pPr>
      <w:r w:rsidRPr="007D68FF">
        <w:rPr>
          <w:b/>
        </w:rPr>
        <w:t>V.7.</w:t>
      </w:r>
      <w:r w:rsidRPr="007D68FF">
        <w:t xml:space="preserve"> Az Önkormányzat vállalja, hogy a jelen megállapodásban előírt kötelezettségei teljesítéséről (az átruházott vagyon hasznosításáról) – a megállapodás hatályba lépését követő évtől számított – jelen megállapodás IV.2. pontjában meghatározott elidegenítési tilalom fennállásának ideje alatt, minden év december 31. napjáig írásban tájékozatja az MNV Zrt-t. A tájékoztatási kötelezettség elmulasztása esetén az MNV Zrt. határidő megadásával előzetesen felszólítja az Önkormányzatot kötelezettsége teljesítésére.  </w:t>
      </w:r>
    </w:p>
    <w:p w:rsidR="004706C4" w:rsidRPr="007D68FF" w:rsidRDefault="004706C4" w:rsidP="00FB2104">
      <w:pPr>
        <w:jc w:val="both"/>
      </w:pPr>
      <w:r w:rsidRPr="007D68FF">
        <w:t>Amennyiben az Önkormányzat kötelezettségének a felszólítás ellenére sem tesz eleget, a jelen megállapodás II. pontjában rögzített bruttó forgalmi értékének 5 százalékát köteles az MNV Zrt. erre vonatkozó felhívásának kézhezvételétől számított 30 napon belül, mint késedelemi kötbért megfizetni.</w:t>
      </w:r>
    </w:p>
    <w:p w:rsidR="004706C4" w:rsidRPr="007D68FF" w:rsidRDefault="004706C4" w:rsidP="00FB2104">
      <w:pPr>
        <w:jc w:val="both"/>
      </w:pPr>
    </w:p>
    <w:p w:rsidR="004706C4" w:rsidRDefault="004706C4" w:rsidP="00FB2104">
      <w:pPr>
        <w:jc w:val="both"/>
      </w:pPr>
      <w:r w:rsidRPr="007D68FF">
        <w:rPr>
          <w:b/>
        </w:rPr>
        <w:t xml:space="preserve">V.8. </w:t>
      </w:r>
      <w:r w:rsidRPr="007D68FF">
        <w:t>Az Önkormányzat tudomásul veszi, hogy a jelen megállapodásban vállalt kötelezettségei teljesítését az MNV Zrt. ellenőrizheti. Az ellenőrzés során az MNV Zrt. vagy az általa az ellenőrzés lefolytatása érdekében megbízott személy (szervezet) jogosult – többek között – az Ingatlan hasznosítását helyszíni szemle keretében ellenőrizni, és a felhasználással kapcsolatos valamennyi iratba, adathordozón tárolt adatba – a jogszabályokban meghatározott adat-és titokvédelmi előírások betartásával – betekinteni valamint az Önkormányzattól felvilágosítást, tájékoztatást, nyilatkozatot kérni.</w:t>
      </w:r>
    </w:p>
    <w:p w:rsidR="004706C4" w:rsidRDefault="004706C4" w:rsidP="00FB2104">
      <w:pPr>
        <w:jc w:val="both"/>
      </w:pPr>
    </w:p>
    <w:p w:rsidR="004706C4" w:rsidRPr="007D68FF" w:rsidRDefault="004706C4" w:rsidP="00FB2104">
      <w:pPr>
        <w:jc w:val="both"/>
      </w:pPr>
    </w:p>
    <w:p w:rsidR="004706C4" w:rsidRPr="007D68FF" w:rsidRDefault="004706C4" w:rsidP="00FB2104">
      <w:pPr>
        <w:pStyle w:val="BodyText"/>
        <w:ind w:right="50"/>
        <w:rPr>
          <w:rFonts w:ascii="Times New Roman" w:hAnsi="Times New Roman"/>
          <w:b/>
          <w:szCs w:val="24"/>
          <w:u w:val="single"/>
        </w:rPr>
      </w:pPr>
      <w:r w:rsidRPr="007D68FF">
        <w:rPr>
          <w:rFonts w:ascii="Times New Roman" w:hAnsi="Times New Roman"/>
          <w:b/>
          <w:szCs w:val="24"/>
          <w:u w:val="single"/>
        </w:rPr>
        <w:t>VI. Egyebek:</w:t>
      </w:r>
    </w:p>
    <w:p w:rsidR="004706C4" w:rsidRPr="007D68FF" w:rsidRDefault="004706C4" w:rsidP="00FB2104">
      <w:pPr>
        <w:pStyle w:val="BodyText"/>
        <w:ind w:right="50"/>
        <w:rPr>
          <w:rFonts w:ascii="Times New Roman" w:hAnsi="Times New Roman"/>
          <w:b/>
          <w:szCs w:val="24"/>
          <w:u w:val="single"/>
        </w:rPr>
      </w:pPr>
    </w:p>
    <w:p w:rsidR="004706C4" w:rsidRPr="007D68FF" w:rsidRDefault="004706C4" w:rsidP="00FB2104">
      <w:pPr>
        <w:jc w:val="both"/>
      </w:pPr>
      <w:r w:rsidRPr="007D68FF">
        <w:rPr>
          <w:b/>
        </w:rPr>
        <w:t>VI.1.</w:t>
      </w:r>
      <w:r w:rsidRPr="007D68FF">
        <w:t xml:space="preserve"> Az Önkormányzat a birtokbaadás időpontjától kezdve szedi az Ingatlan hasznait, valamint viseli annak terheit és a bekövetkező károkat.</w:t>
      </w:r>
    </w:p>
    <w:p w:rsidR="004706C4" w:rsidRPr="007D68FF" w:rsidRDefault="004706C4" w:rsidP="00FB2104">
      <w:pPr>
        <w:jc w:val="both"/>
      </w:pPr>
    </w:p>
    <w:p w:rsidR="004706C4" w:rsidRPr="007D68FF" w:rsidRDefault="004706C4" w:rsidP="00FB2104">
      <w:pPr>
        <w:jc w:val="both"/>
      </w:pPr>
      <w:r w:rsidRPr="007D68FF">
        <w:rPr>
          <w:b/>
        </w:rPr>
        <w:t>VI.2.</w:t>
      </w:r>
      <w:r w:rsidRPr="007D68FF">
        <w:t xml:space="preserve"> Szerződő Felek rögzítik, hogy</w:t>
      </w:r>
      <w:r w:rsidRPr="007D68FF">
        <w:rPr>
          <w:b/>
        </w:rPr>
        <w:t xml:space="preserve"> </w:t>
      </w:r>
      <w:r w:rsidRPr="007D68FF">
        <w:t>az illetékről szóló 1990. évi XCIII. törvény 5. § (1) bekezdése alapján az Ingatlan tulajdonjogának átruházásával kapcsolatosan illetékmentességet élveznek.</w:t>
      </w:r>
    </w:p>
    <w:p w:rsidR="004706C4" w:rsidRPr="007D68FF" w:rsidRDefault="004706C4" w:rsidP="00FB2104">
      <w:pPr>
        <w:jc w:val="both"/>
        <w:rPr>
          <w:b/>
        </w:rPr>
      </w:pPr>
    </w:p>
    <w:p w:rsidR="004706C4" w:rsidRPr="007D68FF" w:rsidRDefault="004706C4" w:rsidP="00FB2104">
      <w:pPr>
        <w:jc w:val="both"/>
      </w:pPr>
      <w:r w:rsidRPr="007D68FF">
        <w:rPr>
          <w:b/>
        </w:rPr>
        <w:t>VI.3.</w:t>
      </w:r>
      <w:r w:rsidRPr="007D68FF">
        <w:t xml:space="preserve"> Szerződő Felek kijelentik, hogy a jelen megállapodás aláírásához szükséges felhatalmazással rendelkeznek. </w:t>
      </w:r>
    </w:p>
    <w:p w:rsidR="004706C4" w:rsidRPr="007D68FF" w:rsidRDefault="004706C4" w:rsidP="00FB2104">
      <w:pPr>
        <w:jc w:val="both"/>
      </w:pPr>
    </w:p>
    <w:p w:rsidR="004706C4" w:rsidRDefault="004706C4" w:rsidP="001A7178">
      <w:pPr>
        <w:jc w:val="both"/>
      </w:pPr>
      <w:r w:rsidRPr="007D68FF">
        <w:rPr>
          <w:b/>
        </w:rPr>
        <w:t xml:space="preserve">VI.4. </w:t>
      </w:r>
      <w:r w:rsidRPr="007D68FF">
        <w:t xml:space="preserve">Szerződő Felek jelen megállapodás aláírásával felhatalmazzák </w:t>
      </w:r>
      <w:r>
        <w:rPr>
          <w:b/>
        </w:rPr>
        <w:t xml:space="preserve">Dr Horváth Ildikó </w:t>
      </w:r>
      <w:r w:rsidRPr="00881CC0">
        <w:rPr>
          <w:b/>
          <w:u w:val="single"/>
        </w:rPr>
        <w:t>jogtanácsost</w:t>
      </w:r>
      <w:r>
        <w:t xml:space="preserve"> </w:t>
      </w:r>
      <w:r w:rsidRPr="003D368B">
        <w:t>(székhel</w:t>
      </w:r>
      <w:r>
        <w:t>y: 9700 Szombathely, Kossuth Lajos u. 1-3. j</w:t>
      </w:r>
      <w:r w:rsidRPr="003D368B">
        <w:t>ogtanácsosi – nyilvántartási szám: 09360),</w:t>
      </w:r>
      <w:r w:rsidRPr="007D68FF">
        <w:t xml:space="preserve"> hogy a tulajdonjog-átruházás és a IV.2. pont szerinti elidegenítési tilalom ingatlan-nyilvántartási átvezetésével illetve bejegyzésével</w:t>
      </w:r>
      <w:r>
        <w:t>, valamint a vagyonkezelői jog törlésével</w:t>
      </w:r>
      <w:r w:rsidRPr="007D68FF">
        <w:t xml:space="preserve"> kapcsolatosan az ingatlanügyi hatóság előtt Szerződő Felek képviseletében eljárjon.</w:t>
      </w:r>
      <w:r w:rsidRPr="001A7178">
        <w:t xml:space="preserve"> </w:t>
      </w:r>
      <w:r w:rsidRPr="006E1F89">
        <w:t>Szerződő Felek megbízzák Dr. Szabó Zsolt ügyvédet (székhely: 9700 Szombathely Király u. 10. I/8.) jelen okirat Magyar Nemzeti Vagyonkezelő Zrt. részéről történő ellenjegyzésével.</w:t>
      </w:r>
    </w:p>
    <w:p w:rsidR="004706C4" w:rsidRPr="007D68FF" w:rsidRDefault="004706C4" w:rsidP="001A7178">
      <w:pPr>
        <w:autoSpaceDE w:val="0"/>
        <w:autoSpaceDN w:val="0"/>
        <w:adjustRightInd w:val="0"/>
        <w:jc w:val="both"/>
      </w:pPr>
    </w:p>
    <w:p w:rsidR="004706C4" w:rsidRPr="006E1F89" w:rsidRDefault="004706C4" w:rsidP="0086280A">
      <w:pPr>
        <w:jc w:val="both"/>
      </w:pPr>
      <w:r w:rsidRPr="001A7178">
        <w:rPr>
          <w:b/>
        </w:rPr>
        <w:t>VI.5.</w:t>
      </w:r>
      <w:r w:rsidRPr="0086280A">
        <w:t xml:space="preserve"> </w:t>
      </w:r>
      <w:r w:rsidRPr="006E1F89">
        <w:t>Tulajdonba adó kijelenti, hogy Magyarországon bejegyzett gazdasági társaság, aki</w:t>
      </w:r>
      <w:r>
        <w:t xml:space="preserve"> az 1997. évi CXLI. tv. 37. § (5</w:t>
      </w:r>
      <w:r w:rsidRPr="006E1F89">
        <w:t>) bekezdése kapcsán kijelenti, hogy cégkivonata és a képviselői aláírási címpéldánya már 20124/2012 szám alatt az ingatlanügyi hatósághoz már benyújtásra került, azok a keletkezés és a képviseleti jog tekintetében változást nem tartalmaznak.</w:t>
      </w:r>
    </w:p>
    <w:p w:rsidR="004706C4" w:rsidRDefault="004706C4" w:rsidP="0086280A">
      <w:pPr>
        <w:jc w:val="both"/>
      </w:pPr>
      <w:r w:rsidRPr="006E1F89">
        <w:t>Tulajdonba vevő kijelenti, hogy Magyarországon működő Önkormányzat, aki az 1997. évi CXLI. tv. 37. § (3) bekezdése kapcsán kijelenti, hogy a jogalanyiságát igazoló okirat és a képviselője aláírási címpéldánya már 20191/2010. szám alatt az ingatlanügyi hatósághoz már benyújtásra került, azok a keletkezés és a képviseleti jog tekintetében változást nem tartalmaznak.</w:t>
      </w:r>
    </w:p>
    <w:p w:rsidR="004706C4" w:rsidRDefault="004706C4" w:rsidP="00FB2104">
      <w:pPr>
        <w:jc w:val="both"/>
        <w:rPr>
          <w:b/>
          <w:u w:val="single"/>
        </w:rPr>
      </w:pPr>
    </w:p>
    <w:p w:rsidR="004706C4" w:rsidRPr="007D68FF" w:rsidRDefault="004706C4" w:rsidP="00FB2104">
      <w:pPr>
        <w:jc w:val="both"/>
        <w:rPr>
          <w:b/>
          <w:u w:val="single"/>
        </w:rPr>
      </w:pPr>
    </w:p>
    <w:p w:rsidR="004706C4" w:rsidRPr="007D68FF" w:rsidRDefault="004706C4" w:rsidP="00FB2104">
      <w:pPr>
        <w:jc w:val="both"/>
        <w:rPr>
          <w:b/>
          <w:u w:val="single"/>
        </w:rPr>
      </w:pPr>
      <w:r w:rsidRPr="007D68FF">
        <w:rPr>
          <w:b/>
          <w:u w:val="single"/>
        </w:rPr>
        <w:t>VII. Jogviták rendezése:</w:t>
      </w:r>
    </w:p>
    <w:p w:rsidR="004706C4" w:rsidRPr="007D68FF" w:rsidRDefault="004706C4" w:rsidP="00FB2104">
      <w:pPr>
        <w:jc w:val="both"/>
        <w:rPr>
          <w:b/>
          <w:bCs/>
        </w:rPr>
      </w:pPr>
    </w:p>
    <w:p w:rsidR="004706C4" w:rsidRPr="007D68FF" w:rsidRDefault="004706C4" w:rsidP="00FB2104">
      <w:pPr>
        <w:jc w:val="both"/>
      </w:pPr>
      <w:r w:rsidRPr="007D68FF">
        <w:rPr>
          <w:b/>
          <w:bCs/>
        </w:rPr>
        <w:t>VII.1.</w:t>
      </w:r>
      <w:r w:rsidRPr="007D68FF">
        <w:t xml:space="preserve"> Szerződő </w:t>
      </w:r>
      <w:r w:rsidRPr="007D68FF">
        <w:rPr>
          <w:bCs/>
        </w:rPr>
        <w:t>Felek</w:t>
      </w:r>
      <w:r w:rsidRPr="007D68FF">
        <w:t xml:space="preserve"> megállapodnak abban, hogy a jelen megállapodással kapcsolatos esetleges vitáikat elsősorban tárgyalás útján igyekeznek rendezni. Ennek eredménytelensége esetében az általános szabályok szerint illetékes és hatáskörrel rendelkező rendes bírósághoz fordulnak jogorvoslatért.</w:t>
      </w:r>
    </w:p>
    <w:p w:rsidR="004706C4" w:rsidRPr="007D68FF" w:rsidRDefault="004706C4" w:rsidP="00FB2104">
      <w:pPr>
        <w:jc w:val="both"/>
      </w:pPr>
    </w:p>
    <w:p w:rsidR="004706C4" w:rsidRPr="007D68FF" w:rsidRDefault="004706C4" w:rsidP="00FB2104">
      <w:pPr>
        <w:jc w:val="both"/>
      </w:pPr>
      <w:r w:rsidRPr="007D68FF">
        <w:rPr>
          <w:b/>
        </w:rPr>
        <w:t>VII.2.</w:t>
      </w:r>
      <w:r w:rsidRPr="007D68FF">
        <w:t xml:space="preserve"> A jelen megállapodásban nem szabályozott kérdésekben az Nvt., a Vtv., az állami vagyonnal való gazdálkodásról szóló 254/2007. (X. 4.) Korm. rendelet, a Polgári Törvénykönyvről szóló 1959. évi IV. törvény, az Ötv. és az egyéb vonatkozó jogszabályok rendelkezései irányadóak.</w:t>
      </w:r>
    </w:p>
    <w:p w:rsidR="004706C4" w:rsidRPr="007D68FF" w:rsidRDefault="004706C4" w:rsidP="00FB2104">
      <w:pPr>
        <w:jc w:val="both"/>
        <w:rPr>
          <w:b/>
          <w:u w:val="single"/>
        </w:rPr>
      </w:pPr>
    </w:p>
    <w:p w:rsidR="004706C4" w:rsidRPr="007D68FF" w:rsidRDefault="004706C4" w:rsidP="00FB2104">
      <w:pPr>
        <w:jc w:val="both"/>
        <w:rPr>
          <w:b/>
          <w:u w:val="single"/>
        </w:rPr>
      </w:pPr>
      <w:r w:rsidRPr="007D68FF">
        <w:rPr>
          <w:b/>
          <w:u w:val="single"/>
        </w:rPr>
        <w:t>VIII. A megállapodás hatálybalépése:</w:t>
      </w:r>
    </w:p>
    <w:p w:rsidR="004706C4" w:rsidRPr="007D68FF" w:rsidRDefault="004706C4" w:rsidP="00FB2104">
      <w:pPr>
        <w:jc w:val="both"/>
        <w:rPr>
          <w:b/>
          <w:u w:val="single"/>
        </w:rPr>
      </w:pPr>
    </w:p>
    <w:p w:rsidR="004706C4" w:rsidRPr="007D68FF" w:rsidRDefault="004706C4" w:rsidP="00FB2104">
      <w:pPr>
        <w:jc w:val="both"/>
      </w:pPr>
      <w:r w:rsidRPr="007D68FF">
        <w:rPr>
          <w:b/>
        </w:rPr>
        <w:t>VIII.1.</w:t>
      </w:r>
      <w:r w:rsidRPr="007D68FF">
        <w:t xml:space="preserve"> Jelen megállapodást Szerződő Felek annak áttanulmányozása és értelmezése után, mint akaratukkal mindenben megegyezőt írták alá. Kijelentik továbbá, hogy jelen megállapodás annak aláírása napján lép hatályba. Ha az aláírások nem ugyanazon napon történnek, a hatályba lépés időpontja a későbbi aláírás napja.</w:t>
      </w:r>
    </w:p>
    <w:p w:rsidR="004706C4" w:rsidRPr="007D68FF" w:rsidRDefault="004706C4" w:rsidP="00FB2104">
      <w:pPr>
        <w:jc w:val="both"/>
      </w:pPr>
    </w:p>
    <w:p w:rsidR="004706C4" w:rsidRPr="007D68FF" w:rsidRDefault="004706C4" w:rsidP="00FB2104">
      <w:pPr>
        <w:jc w:val="both"/>
      </w:pPr>
      <w:r w:rsidRPr="007D68FF">
        <w:rPr>
          <w:b/>
        </w:rPr>
        <w:t>VIII.2.</w:t>
      </w:r>
      <w:r w:rsidRPr="007D68FF">
        <w:t xml:space="preserve"> Jelen megál</w:t>
      </w:r>
      <w:r>
        <w:t xml:space="preserve">lapodás 6 példányban készült és </w:t>
      </w:r>
      <w:r w:rsidRPr="003D368B">
        <w:t>18 számozott lapból</w:t>
      </w:r>
      <w:r>
        <w:t>, valamint 1</w:t>
      </w:r>
      <w:r w:rsidRPr="007D68FF">
        <w:t xml:space="preserve"> elválaszthatatlan mellékletből áll, amelyből 3 példány az </w:t>
      </w:r>
      <w:r w:rsidRPr="007D68FF">
        <w:rPr>
          <w:b/>
        </w:rPr>
        <w:t>MNV Zrt</w:t>
      </w:r>
      <w:r w:rsidRPr="007D68FF">
        <w:t xml:space="preserve">-t, 3 példány az </w:t>
      </w:r>
      <w:r w:rsidRPr="007D68FF">
        <w:rPr>
          <w:b/>
        </w:rPr>
        <w:t>Önkormányzatot</w:t>
      </w:r>
      <w:r w:rsidRPr="007D68FF">
        <w:t xml:space="preserve"> illeti meg.</w:t>
      </w:r>
    </w:p>
    <w:p w:rsidR="004706C4" w:rsidRPr="007D68FF" w:rsidRDefault="004706C4" w:rsidP="00FB2104">
      <w:pPr>
        <w:jc w:val="both"/>
      </w:pPr>
    </w:p>
    <w:p w:rsidR="004706C4" w:rsidRPr="000A2057" w:rsidRDefault="004706C4" w:rsidP="00FB2104">
      <w:pPr>
        <w:jc w:val="both"/>
        <w:rPr>
          <w:u w:val="single"/>
        </w:rPr>
      </w:pPr>
      <w:r w:rsidRPr="000A2057">
        <w:rPr>
          <w:b/>
        </w:rPr>
        <w:t>VIII.3.</w:t>
      </w:r>
      <w:r w:rsidRPr="000A2057">
        <w:t xml:space="preserve"> Az MNV Zrt. képviselője meghatalmazza </w:t>
      </w:r>
      <w:r>
        <w:t>Dr Tuboly Jánost és Vigh Edittet</w:t>
      </w:r>
      <w:r w:rsidRPr="000A2057">
        <w:t xml:space="preserve"> az MNV Zrt. munkavállalóját, hogy az ingatlan-nyilvántartásról szóló 1997. évi CXLI. törvény 32. § (2) bekezdés f) pontja értelmében jelen megállapodás külön lapjait helyette és nevében minden oldalon kézjegyével ellássa. </w:t>
      </w:r>
    </w:p>
    <w:p w:rsidR="004706C4" w:rsidRPr="00C802C3" w:rsidRDefault="004706C4" w:rsidP="00FB2104">
      <w:pPr>
        <w:tabs>
          <w:tab w:val="left" w:pos="5220"/>
        </w:tabs>
        <w:outlineLvl w:val="0"/>
        <w:rPr>
          <w:color w:val="FF0000"/>
        </w:rPr>
      </w:pPr>
    </w:p>
    <w:p w:rsidR="004706C4" w:rsidRPr="007D68FF" w:rsidRDefault="004706C4" w:rsidP="00FB2104">
      <w:pPr>
        <w:tabs>
          <w:tab w:val="left" w:pos="5220"/>
        </w:tabs>
        <w:outlineLvl w:val="0"/>
        <w:rPr>
          <w:b/>
        </w:rPr>
      </w:pPr>
      <w:r>
        <w:t>……………</w:t>
      </w:r>
      <w:r w:rsidRPr="007D68FF">
        <w:t xml:space="preserve"> 2012………. hó……napján</w:t>
      </w:r>
      <w:r w:rsidRPr="007D68FF">
        <w:tab/>
        <w:t>………...… 2012. ………. hó….napján</w:t>
      </w:r>
    </w:p>
    <w:p w:rsidR="004706C4" w:rsidRPr="007D68FF" w:rsidRDefault="004706C4" w:rsidP="00FB2104">
      <w:pPr>
        <w:tabs>
          <w:tab w:val="center" w:pos="1800"/>
          <w:tab w:val="center" w:pos="6840"/>
        </w:tabs>
      </w:pPr>
    </w:p>
    <w:tbl>
      <w:tblPr>
        <w:tblW w:w="0" w:type="auto"/>
        <w:tblInd w:w="38" w:type="dxa"/>
        <w:tblLook w:val="01E0"/>
      </w:tblPr>
      <w:tblGrid>
        <w:gridCol w:w="4606"/>
        <w:gridCol w:w="4606"/>
      </w:tblGrid>
      <w:tr w:rsidR="004706C4" w:rsidRPr="007D68FF" w:rsidTr="00367596">
        <w:tc>
          <w:tcPr>
            <w:tcW w:w="4606" w:type="dxa"/>
          </w:tcPr>
          <w:p w:rsidR="004706C4" w:rsidRPr="007D68FF" w:rsidRDefault="004706C4" w:rsidP="00367596">
            <w:pPr>
              <w:tabs>
                <w:tab w:val="center" w:pos="1800"/>
                <w:tab w:val="center" w:pos="6840"/>
              </w:tabs>
              <w:jc w:val="center"/>
            </w:pPr>
            <w:r w:rsidRPr="007D68FF">
              <w:rPr>
                <w:b/>
              </w:rPr>
              <w:t xml:space="preserve">Magyar Nemzeti Vagyonkezelő Zrt. </w:t>
            </w:r>
          </w:p>
        </w:tc>
        <w:tc>
          <w:tcPr>
            <w:tcW w:w="4606" w:type="dxa"/>
          </w:tcPr>
          <w:p w:rsidR="004706C4" w:rsidRPr="007D68FF" w:rsidRDefault="004706C4" w:rsidP="00367596">
            <w:pPr>
              <w:tabs>
                <w:tab w:val="center" w:pos="1800"/>
                <w:tab w:val="center" w:pos="6840"/>
              </w:tabs>
              <w:jc w:val="center"/>
            </w:pPr>
            <w:r>
              <w:rPr>
                <w:b/>
              </w:rPr>
              <w:t xml:space="preserve">Szombathely Megyei Jogú Város </w:t>
            </w:r>
            <w:r w:rsidRPr="007D68FF">
              <w:rPr>
                <w:b/>
              </w:rPr>
              <w:t>Önkormányzata</w:t>
            </w:r>
            <w:r w:rsidRPr="007D68FF" w:rsidDel="002C37E0">
              <w:rPr>
                <w:b/>
              </w:rPr>
              <w:t xml:space="preserve"> </w:t>
            </w:r>
          </w:p>
        </w:tc>
      </w:tr>
      <w:tr w:rsidR="004706C4" w:rsidRPr="007D68FF" w:rsidTr="00367596">
        <w:tc>
          <w:tcPr>
            <w:tcW w:w="4606" w:type="dxa"/>
          </w:tcPr>
          <w:p w:rsidR="004706C4" w:rsidRPr="007D68FF" w:rsidRDefault="004706C4" w:rsidP="00367596">
            <w:pPr>
              <w:tabs>
                <w:tab w:val="center" w:pos="1800"/>
                <w:tab w:val="center" w:pos="6840"/>
              </w:tabs>
              <w:jc w:val="center"/>
            </w:pPr>
          </w:p>
          <w:p w:rsidR="004706C4" w:rsidRPr="007D68FF" w:rsidRDefault="004706C4" w:rsidP="00367596">
            <w:pPr>
              <w:tabs>
                <w:tab w:val="center" w:pos="1800"/>
                <w:tab w:val="center" w:pos="6840"/>
              </w:tabs>
              <w:jc w:val="center"/>
            </w:pPr>
          </w:p>
          <w:p w:rsidR="004706C4" w:rsidRPr="007D68FF" w:rsidRDefault="004706C4" w:rsidP="00367596">
            <w:pPr>
              <w:tabs>
                <w:tab w:val="center" w:pos="1800"/>
                <w:tab w:val="center" w:pos="6840"/>
              </w:tabs>
            </w:pPr>
          </w:p>
        </w:tc>
        <w:tc>
          <w:tcPr>
            <w:tcW w:w="4606" w:type="dxa"/>
          </w:tcPr>
          <w:p w:rsidR="004706C4" w:rsidRPr="007D68FF" w:rsidRDefault="004706C4" w:rsidP="00367596">
            <w:pPr>
              <w:tabs>
                <w:tab w:val="center" w:pos="1800"/>
                <w:tab w:val="center" w:pos="6840"/>
              </w:tabs>
              <w:jc w:val="center"/>
            </w:pPr>
          </w:p>
        </w:tc>
      </w:tr>
      <w:tr w:rsidR="004706C4" w:rsidRPr="007D68FF" w:rsidTr="00367596">
        <w:tc>
          <w:tcPr>
            <w:tcW w:w="4606" w:type="dxa"/>
          </w:tcPr>
          <w:p w:rsidR="004706C4" w:rsidRPr="007D68FF" w:rsidRDefault="004706C4" w:rsidP="00367596">
            <w:pPr>
              <w:tabs>
                <w:tab w:val="center" w:pos="1800"/>
                <w:tab w:val="center" w:pos="6840"/>
              </w:tabs>
              <w:jc w:val="center"/>
            </w:pPr>
            <w:r w:rsidRPr="007D68FF">
              <w:t>…………………………………….</w:t>
            </w:r>
          </w:p>
        </w:tc>
        <w:tc>
          <w:tcPr>
            <w:tcW w:w="4606" w:type="dxa"/>
          </w:tcPr>
          <w:p w:rsidR="004706C4" w:rsidRPr="007D68FF" w:rsidRDefault="004706C4" w:rsidP="00367596">
            <w:pPr>
              <w:tabs>
                <w:tab w:val="center" w:pos="1800"/>
                <w:tab w:val="center" w:pos="6840"/>
              </w:tabs>
              <w:jc w:val="center"/>
            </w:pPr>
            <w:r w:rsidRPr="007D68FF">
              <w:t>……………………………….</w:t>
            </w:r>
          </w:p>
        </w:tc>
      </w:tr>
      <w:tr w:rsidR="004706C4" w:rsidRPr="007D68FF" w:rsidTr="00367596">
        <w:tc>
          <w:tcPr>
            <w:tcW w:w="4606" w:type="dxa"/>
          </w:tcPr>
          <w:p w:rsidR="004706C4" w:rsidRDefault="004706C4" w:rsidP="00367596">
            <w:pPr>
              <w:tabs>
                <w:tab w:val="center" w:pos="1800"/>
                <w:tab w:val="center" w:pos="6840"/>
              </w:tabs>
              <w:jc w:val="center"/>
              <w:rPr>
                <w:b/>
              </w:rPr>
            </w:pPr>
            <w:r>
              <w:rPr>
                <w:b/>
              </w:rPr>
              <w:t>Dr Tuboly János        és      Vigh Edit</w:t>
            </w:r>
          </w:p>
          <w:p w:rsidR="004706C4" w:rsidRPr="00F11535" w:rsidRDefault="004706C4" w:rsidP="00367596">
            <w:pPr>
              <w:tabs>
                <w:tab w:val="center" w:pos="1800"/>
                <w:tab w:val="center" w:pos="6840"/>
              </w:tabs>
              <w:jc w:val="center"/>
              <w:rPr>
                <w:sz w:val="18"/>
                <w:szCs w:val="18"/>
              </w:rPr>
            </w:pPr>
            <w:r w:rsidRPr="00F11535">
              <w:rPr>
                <w:sz w:val="18"/>
                <w:szCs w:val="18"/>
              </w:rPr>
              <w:t xml:space="preserve">területi irodavezető </w:t>
            </w:r>
            <w:r>
              <w:rPr>
                <w:sz w:val="18"/>
                <w:szCs w:val="18"/>
              </w:rPr>
              <w:t xml:space="preserve">                 </w:t>
            </w:r>
            <w:r w:rsidRPr="00F11535">
              <w:rPr>
                <w:sz w:val="18"/>
                <w:szCs w:val="18"/>
              </w:rPr>
              <w:t>helyettes területi irodavezető</w:t>
            </w:r>
          </w:p>
        </w:tc>
        <w:tc>
          <w:tcPr>
            <w:tcW w:w="4606" w:type="dxa"/>
          </w:tcPr>
          <w:p w:rsidR="004706C4" w:rsidRDefault="004706C4" w:rsidP="00367596">
            <w:pPr>
              <w:tabs>
                <w:tab w:val="center" w:pos="1800"/>
                <w:tab w:val="center" w:pos="6840"/>
              </w:tabs>
              <w:jc w:val="center"/>
              <w:rPr>
                <w:b/>
              </w:rPr>
            </w:pPr>
            <w:r>
              <w:rPr>
                <w:b/>
              </w:rPr>
              <w:t>Dr Puskás Tivadar</w:t>
            </w:r>
          </w:p>
          <w:p w:rsidR="004706C4" w:rsidRPr="00F11535" w:rsidRDefault="004706C4" w:rsidP="00367596">
            <w:pPr>
              <w:tabs>
                <w:tab w:val="center" w:pos="1800"/>
                <w:tab w:val="center" w:pos="6840"/>
              </w:tabs>
              <w:jc w:val="center"/>
            </w:pPr>
            <w:r w:rsidRPr="00F11535">
              <w:t>polgármester</w:t>
            </w:r>
          </w:p>
        </w:tc>
      </w:tr>
      <w:tr w:rsidR="004706C4" w:rsidRPr="007D68FF" w:rsidTr="00367596">
        <w:trPr>
          <w:trHeight w:val="373"/>
        </w:trPr>
        <w:tc>
          <w:tcPr>
            <w:tcW w:w="4606" w:type="dxa"/>
          </w:tcPr>
          <w:p w:rsidR="004706C4" w:rsidRPr="007D68FF" w:rsidRDefault="004706C4" w:rsidP="00367596">
            <w:pPr>
              <w:tabs>
                <w:tab w:val="center" w:pos="1800"/>
                <w:tab w:val="center" w:pos="6840"/>
              </w:tabs>
              <w:jc w:val="center"/>
            </w:pPr>
          </w:p>
          <w:p w:rsidR="004706C4" w:rsidRPr="007D68FF" w:rsidRDefault="004706C4" w:rsidP="00367596">
            <w:pPr>
              <w:tabs>
                <w:tab w:val="center" w:pos="1800"/>
                <w:tab w:val="center" w:pos="6840"/>
              </w:tabs>
              <w:jc w:val="center"/>
            </w:pPr>
            <w:r w:rsidRPr="007D68FF">
              <w:t xml:space="preserve"> </w:t>
            </w:r>
          </w:p>
        </w:tc>
        <w:tc>
          <w:tcPr>
            <w:tcW w:w="4606" w:type="dxa"/>
          </w:tcPr>
          <w:p w:rsidR="004706C4" w:rsidRPr="007D68FF" w:rsidRDefault="004706C4" w:rsidP="00F11535">
            <w:pPr>
              <w:tabs>
                <w:tab w:val="center" w:pos="1800"/>
                <w:tab w:val="center" w:pos="6840"/>
              </w:tabs>
            </w:pPr>
          </w:p>
        </w:tc>
      </w:tr>
      <w:tr w:rsidR="004706C4" w:rsidRPr="007D68FF" w:rsidTr="00367596">
        <w:trPr>
          <w:trHeight w:val="373"/>
        </w:trPr>
        <w:tc>
          <w:tcPr>
            <w:tcW w:w="4606" w:type="dxa"/>
          </w:tcPr>
          <w:p w:rsidR="004706C4" w:rsidRPr="007D68FF" w:rsidRDefault="004706C4" w:rsidP="00367596">
            <w:pPr>
              <w:tabs>
                <w:tab w:val="center" w:pos="1800"/>
                <w:tab w:val="center" w:pos="6840"/>
              </w:tabs>
              <w:jc w:val="center"/>
            </w:pPr>
            <w:r w:rsidRPr="007D68FF">
              <w:t>Tulajdonba adó</w:t>
            </w:r>
          </w:p>
          <w:p w:rsidR="004706C4" w:rsidRPr="007D68FF" w:rsidRDefault="004706C4" w:rsidP="00367596">
            <w:pPr>
              <w:tabs>
                <w:tab w:val="center" w:pos="1800"/>
                <w:tab w:val="center" w:pos="6840"/>
              </w:tabs>
              <w:jc w:val="center"/>
            </w:pPr>
          </w:p>
        </w:tc>
        <w:tc>
          <w:tcPr>
            <w:tcW w:w="4606" w:type="dxa"/>
          </w:tcPr>
          <w:p w:rsidR="004706C4" w:rsidRPr="007D68FF" w:rsidRDefault="004706C4" w:rsidP="00367596">
            <w:pPr>
              <w:tabs>
                <w:tab w:val="center" w:pos="1800"/>
                <w:tab w:val="center" w:pos="6840"/>
              </w:tabs>
              <w:jc w:val="center"/>
            </w:pPr>
            <w:r w:rsidRPr="007D68FF">
              <w:t>Tulajdonba vevő</w:t>
            </w:r>
          </w:p>
        </w:tc>
      </w:tr>
    </w:tbl>
    <w:p w:rsidR="004706C4" w:rsidRPr="007D68FF" w:rsidRDefault="004706C4" w:rsidP="00FB2104">
      <w:pPr>
        <w:tabs>
          <w:tab w:val="center" w:pos="1800"/>
          <w:tab w:val="center" w:pos="6840"/>
        </w:tabs>
      </w:pPr>
    </w:p>
    <w:tbl>
      <w:tblPr>
        <w:tblW w:w="0" w:type="auto"/>
        <w:jc w:val="center"/>
        <w:tblLook w:val="01E0"/>
      </w:tblPr>
      <w:tblGrid>
        <w:gridCol w:w="4606"/>
        <w:gridCol w:w="4606"/>
      </w:tblGrid>
      <w:tr w:rsidR="004706C4" w:rsidRPr="007D68FF" w:rsidTr="00367596">
        <w:trPr>
          <w:jc w:val="center"/>
        </w:trPr>
        <w:tc>
          <w:tcPr>
            <w:tcW w:w="4606" w:type="dxa"/>
          </w:tcPr>
          <w:p w:rsidR="004706C4" w:rsidRPr="007D68FF" w:rsidRDefault="004706C4" w:rsidP="00367596">
            <w:pPr>
              <w:jc w:val="center"/>
              <w:rPr>
                <w:bCs/>
              </w:rPr>
            </w:pPr>
            <w:r w:rsidRPr="007D68FF">
              <w:rPr>
                <w:bCs/>
              </w:rPr>
              <w:t>Az MNV Zrt. részéről ellenjegyzem:</w:t>
            </w:r>
          </w:p>
          <w:p w:rsidR="004706C4" w:rsidRPr="007D68FF" w:rsidRDefault="004706C4" w:rsidP="00367596">
            <w:pPr>
              <w:jc w:val="center"/>
              <w:rPr>
                <w:bCs/>
              </w:rPr>
            </w:pPr>
            <w:r>
              <w:rPr>
                <w:bCs/>
              </w:rPr>
              <w:t>……………..</w:t>
            </w:r>
            <w:r w:rsidRPr="007D68FF">
              <w:rPr>
                <w:bCs/>
              </w:rPr>
              <w:t xml:space="preserve">, </w:t>
            </w:r>
            <w:r w:rsidRPr="007D68FF">
              <w:t>2012. ………. hó……napján</w:t>
            </w:r>
          </w:p>
        </w:tc>
        <w:tc>
          <w:tcPr>
            <w:tcW w:w="4606" w:type="dxa"/>
          </w:tcPr>
          <w:p w:rsidR="004706C4" w:rsidRPr="007D68FF" w:rsidRDefault="004706C4" w:rsidP="00367596">
            <w:pPr>
              <w:jc w:val="center"/>
            </w:pPr>
            <w:r w:rsidRPr="007D68FF">
              <w:t>Az Önkormányzat részéről ellenjegyzem:</w:t>
            </w:r>
          </w:p>
          <w:p w:rsidR="004706C4" w:rsidRPr="007D68FF" w:rsidRDefault="004706C4" w:rsidP="00367596">
            <w:pPr>
              <w:jc w:val="center"/>
            </w:pPr>
            <w:r w:rsidRPr="007D68FF">
              <w:t>……………, 2012. ….……..hó ……napján</w:t>
            </w:r>
          </w:p>
        </w:tc>
      </w:tr>
      <w:tr w:rsidR="004706C4" w:rsidRPr="007D68FF" w:rsidTr="00367596">
        <w:trPr>
          <w:jc w:val="center"/>
        </w:trPr>
        <w:tc>
          <w:tcPr>
            <w:tcW w:w="4606" w:type="dxa"/>
          </w:tcPr>
          <w:p w:rsidR="004706C4" w:rsidRPr="007D68FF" w:rsidRDefault="004706C4" w:rsidP="00367596">
            <w:pPr>
              <w:jc w:val="center"/>
            </w:pPr>
          </w:p>
          <w:p w:rsidR="004706C4" w:rsidRPr="007D68FF" w:rsidRDefault="004706C4" w:rsidP="00367596">
            <w:pPr>
              <w:jc w:val="center"/>
            </w:pPr>
          </w:p>
          <w:p w:rsidR="004706C4" w:rsidRPr="007D68FF" w:rsidRDefault="004706C4" w:rsidP="00367596">
            <w:pPr>
              <w:jc w:val="center"/>
            </w:pPr>
          </w:p>
          <w:p w:rsidR="004706C4" w:rsidRPr="007D68FF" w:rsidRDefault="004706C4" w:rsidP="00367596">
            <w:pPr>
              <w:jc w:val="center"/>
            </w:pPr>
            <w:r w:rsidRPr="007D68FF">
              <w:t>………………</w:t>
            </w:r>
          </w:p>
        </w:tc>
        <w:tc>
          <w:tcPr>
            <w:tcW w:w="4606" w:type="dxa"/>
          </w:tcPr>
          <w:p w:rsidR="004706C4" w:rsidRPr="007D68FF" w:rsidRDefault="004706C4" w:rsidP="00367596">
            <w:pPr>
              <w:jc w:val="center"/>
            </w:pPr>
          </w:p>
          <w:p w:rsidR="004706C4" w:rsidRPr="007D68FF" w:rsidRDefault="004706C4" w:rsidP="00367596">
            <w:pPr>
              <w:jc w:val="center"/>
            </w:pPr>
          </w:p>
          <w:p w:rsidR="004706C4" w:rsidRDefault="004706C4" w:rsidP="00367596">
            <w:pPr>
              <w:jc w:val="center"/>
            </w:pPr>
            <w:r w:rsidRPr="007D68FF">
              <w:t>…………………………</w:t>
            </w:r>
          </w:p>
          <w:p w:rsidR="004706C4" w:rsidRPr="007D68FF" w:rsidRDefault="004706C4" w:rsidP="00367596">
            <w:pPr>
              <w:jc w:val="center"/>
            </w:pPr>
            <w:r>
              <w:t>Dr Horváth Ildikó</w:t>
            </w:r>
          </w:p>
        </w:tc>
      </w:tr>
      <w:tr w:rsidR="004706C4" w:rsidRPr="007D68FF" w:rsidTr="00367596">
        <w:trPr>
          <w:jc w:val="center"/>
        </w:trPr>
        <w:tc>
          <w:tcPr>
            <w:tcW w:w="4606" w:type="dxa"/>
          </w:tcPr>
          <w:p w:rsidR="004706C4" w:rsidRDefault="004706C4" w:rsidP="00367596">
            <w:pPr>
              <w:jc w:val="center"/>
            </w:pPr>
            <w:r>
              <w:t xml:space="preserve">Dr Szabó Zsolt </w:t>
            </w:r>
          </w:p>
          <w:p w:rsidR="004706C4" w:rsidRPr="007D68FF" w:rsidRDefault="004706C4" w:rsidP="00367596">
            <w:pPr>
              <w:jc w:val="center"/>
            </w:pPr>
            <w:r>
              <w:t>Ügyvéd</w:t>
            </w:r>
          </w:p>
        </w:tc>
        <w:tc>
          <w:tcPr>
            <w:tcW w:w="4606" w:type="dxa"/>
          </w:tcPr>
          <w:p w:rsidR="004706C4" w:rsidRPr="007D68FF" w:rsidRDefault="004706C4" w:rsidP="00367596">
            <w:pPr>
              <w:jc w:val="center"/>
            </w:pPr>
            <w:r>
              <w:t>Jogtanácsos</w:t>
            </w:r>
          </w:p>
        </w:tc>
      </w:tr>
    </w:tbl>
    <w:p w:rsidR="004706C4" w:rsidRPr="007D68FF" w:rsidRDefault="004706C4" w:rsidP="00FB2104">
      <w:pPr>
        <w:tabs>
          <w:tab w:val="center" w:pos="1800"/>
          <w:tab w:val="center" w:pos="6840"/>
        </w:tabs>
        <w:rPr>
          <w:sz w:val="20"/>
          <w:szCs w:val="20"/>
          <w:u w:val="single"/>
        </w:rPr>
      </w:pPr>
    </w:p>
    <w:p w:rsidR="004706C4" w:rsidRPr="007D68FF" w:rsidRDefault="004706C4" w:rsidP="00FB2104">
      <w:pPr>
        <w:tabs>
          <w:tab w:val="center" w:pos="1800"/>
          <w:tab w:val="center" w:pos="6840"/>
        </w:tabs>
        <w:rPr>
          <w:sz w:val="20"/>
          <w:szCs w:val="20"/>
          <w:u w:val="single"/>
        </w:rPr>
      </w:pPr>
      <w:r w:rsidRPr="007D68FF">
        <w:rPr>
          <w:sz w:val="20"/>
          <w:szCs w:val="20"/>
          <w:u w:val="single"/>
        </w:rPr>
        <w:t>Melléklet:</w:t>
      </w:r>
    </w:p>
    <w:p w:rsidR="004706C4" w:rsidRPr="003D368B" w:rsidRDefault="004706C4" w:rsidP="00670DDE">
      <w:pPr>
        <w:numPr>
          <w:ilvl w:val="0"/>
          <w:numId w:val="1"/>
        </w:numPr>
        <w:rPr>
          <w:sz w:val="20"/>
          <w:szCs w:val="20"/>
        </w:rPr>
      </w:pPr>
      <w:r w:rsidRPr="003D368B">
        <w:rPr>
          <w:sz w:val="20"/>
          <w:szCs w:val="20"/>
        </w:rPr>
        <w:t>számú melléklet: 1253/2012.(VII.19) szm Korm hat.</w:t>
      </w:r>
    </w:p>
    <w:p w:rsidR="004706C4" w:rsidRPr="003D368B" w:rsidRDefault="004706C4" w:rsidP="00F11535">
      <w:pPr>
        <w:rPr>
          <w:sz w:val="20"/>
          <w:szCs w:val="20"/>
        </w:rPr>
      </w:pPr>
      <w:bookmarkStart w:id="0" w:name="_GoBack"/>
      <w:bookmarkEnd w:id="0"/>
    </w:p>
    <w:p w:rsidR="004706C4" w:rsidRDefault="004706C4"/>
    <w:sectPr w:rsidR="004706C4" w:rsidSect="00CC0B47">
      <w:headerReference w:type="default" r:id="rId7"/>
      <w:footerReference w:type="default" r:id="rId8"/>
      <w:headerReference w:type="first" r:id="rId9"/>
      <w:footerReference w:type="first" r:id="rId10"/>
      <w:pgSz w:w="11906" w:h="16838"/>
      <w:pgMar w:top="1560" w:right="1417" w:bottom="179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C4" w:rsidRDefault="004706C4">
      <w:r>
        <w:separator/>
      </w:r>
    </w:p>
  </w:endnote>
  <w:endnote w:type="continuationSeparator" w:id="0">
    <w:p w:rsidR="004706C4" w:rsidRDefault="00470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4" w:rsidRPr="006015AB" w:rsidRDefault="004706C4" w:rsidP="00CC0B47">
    <w:pPr>
      <w:pStyle w:val="Footer"/>
      <w:tabs>
        <w:tab w:val="clear" w:pos="4536"/>
        <w:tab w:val="clear" w:pos="9072"/>
        <w:tab w:val="center" w:pos="851"/>
        <w:tab w:val="center" w:pos="7938"/>
      </w:tabs>
      <w:ind w:right="-1008"/>
      <w:rPr>
        <w:sz w:val="18"/>
        <w:szCs w:val="18"/>
      </w:rPr>
    </w:pPr>
    <w:r>
      <w:rPr>
        <w:sz w:val="18"/>
        <w:szCs w:val="18"/>
      </w:rPr>
      <w:tab/>
    </w:r>
    <w:r w:rsidRPr="006015AB">
      <w:rPr>
        <w:sz w:val="18"/>
        <w:szCs w:val="18"/>
      </w:rPr>
      <w:t>MNV Zrt.</w:t>
    </w:r>
    <w:r>
      <w:rPr>
        <w:sz w:val="18"/>
        <w:szCs w:val="18"/>
      </w:rPr>
      <w:tab/>
      <w:t>Önkormányzat</w:t>
    </w:r>
  </w:p>
  <w:p w:rsidR="004706C4" w:rsidRPr="006015AB" w:rsidRDefault="004706C4" w:rsidP="00CC0B47">
    <w:pPr>
      <w:pStyle w:val="Footer"/>
      <w:ind w:right="-1008"/>
      <w:rPr>
        <w:sz w:val="18"/>
        <w:szCs w:val="18"/>
      </w:rPr>
    </w:pPr>
  </w:p>
  <w:p w:rsidR="004706C4" w:rsidRPr="007A7502" w:rsidRDefault="004706C4" w:rsidP="00CC0B47">
    <w:pPr>
      <w:pStyle w:val="Footer"/>
      <w:tabs>
        <w:tab w:val="clear" w:pos="4536"/>
        <w:tab w:val="clear" w:pos="9072"/>
        <w:tab w:val="center" w:pos="851"/>
        <w:tab w:val="center" w:pos="7938"/>
      </w:tabs>
    </w:pPr>
    <w:r>
      <w:rPr>
        <w:sz w:val="18"/>
        <w:szCs w:val="18"/>
      </w:rPr>
      <w:tab/>
    </w:r>
    <w:r w:rsidRPr="006015AB">
      <w:rPr>
        <w:sz w:val="18"/>
        <w:szCs w:val="18"/>
      </w:rPr>
      <w:t>Ellenjegyzem:</w:t>
    </w:r>
    <w:r w:rsidRPr="006015AB">
      <w:rPr>
        <w:sz w:val="18"/>
        <w:szCs w:val="18"/>
      </w:rPr>
      <w:tab/>
      <w:t>Ellenjegyzem</w:t>
    </w:r>
    <w:r>
      <w:rPr>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4" w:rsidRPr="006015AB" w:rsidRDefault="004706C4" w:rsidP="00CC0B47">
    <w:pPr>
      <w:pStyle w:val="Footer"/>
      <w:tabs>
        <w:tab w:val="clear" w:pos="4536"/>
        <w:tab w:val="clear" w:pos="9072"/>
        <w:tab w:val="center" w:pos="851"/>
        <w:tab w:val="center" w:pos="7938"/>
      </w:tabs>
      <w:ind w:right="-1008"/>
      <w:rPr>
        <w:sz w:val="18"/>
        <w:szCs w:val="18"/>
      </w:rPr>
    </w:pPr>
    <w:r>
      <w:rPr>
        <w:sz w:val="18"/>
        <w:szCs w:val="18"/>
      </w:rPr>
      <w:tab/>
    </w:r>
    <w:r w:rsidRPr="006015AB">
      <w:rPr>
        <w:sz w:val="18"/>
        <w:szCs w:val="18"/>
      </w:rPr>
      <w:t>MNV Zrt.</w:t>
    </w:r>
    <w:r>
      <w:rPr>
        <w:sz w:val="18"/>
        <w:szCs w:val="18"/>
      </w:rPr>
      <w:tab/>
      <w:t>Önkormányzat</w:t>
    </w:r>
  </w:p>
  <w:p w:rsidR="004706C4" w:rsidRPr="006015AB" w:rsidRDefault="004706C4" w:rsidP="00CC0B47">
    <w:pPr>
      <w:pStyle w:val="Footer"/>
      <w:ind w:right="-1008"/>
      <w:rPr>
        <w:sz w:val="18"/>
        <w:szCs w:val="18"/>
      </w:rPr>
    </w:pPr>
  </w:p>
  <w:p w:rsidR="004706C4" w:rsidRDefault="004706C4" w:rsidP="00CC0B47">
    <w:pPr>
      <w:pStyle w:val="Footer"/>
      <w:tabs>
        <w:tab w:val="clear" w:pos="4536"/>
        <w:tab w:val="clear" w:pos="9072"/>
        <w:tab w:val="center" w:pos="851"/>
        <w:tab w:val="center" w:pos="7938"/>
      </w:tabs>
    </w:pPr>
    <w:r>
      <w:rPr>
        <w:sz w:val="18"/>
        <w:szCs w:val="18"/>
      </w:rPr>
      <w:tab/>
    </w:r>
    <w:r w:rsidRPr="006015AB">
      <w:rPr>
        <w:sz w:val="18"/>
        <w:szCs w:val="18"/>
      </w:rPr>
      <w:t>Ellenjegyzem:</w:t>
    </w:r>
    <w:r w:rsidRPr="006015AB">
      <w:rPr>
        <w:sz w:val="18"/>
        <w:szCs w:val="18"/>
      </w:rPr>
      <w:tab/>
      <w:t>Ellenjegyzem</w:t>
    </w:r>
    <w:r>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C4" w:rsidRDefault="004706C4">
      <w:r>
        <w:separator/>
      </w:r>
    </w:p>
  </w:footnote>
  <w:footnote w:type="continuationSeparator" w:id="0">
    <w:p w:rsidR="004706C4" w:rsidRDefault="00470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4" w:rsidRDefault="004706C4">
    <w:pPr>
      <w:pStyle w:val="Header"/>
      <w:jc w:val="center"/>
    </w:pPr>
    <w:fldSimple w:instr="PAGE   \* MERGEFORMAT">
      <w:r>
        <w:rPr>
          <w:noProof/>
        </w:rPr>
        <w:t>2</w:t>
      </w:r>
    </w:fldSimple>
  </w:p>
  <w:p w:rsidR="004706C4" w:rsidRDefault="004706C4" w:rsidP="00CC0B47">
    <w:pPr>
      <w:pStyle w:val="Header"/>
      <w:jc w:val="right"/>
    </w:pPr>
    <w:r w:rsidRPr="00CC0B47">
      <w:rPr>
        <w:sz w:val="20"/>
        <w:szCs w:val="20"/>
      </w:rPr>
      <w:t xml:space="preserve">Szt </w:t>
    </w:r>
    <w:r>
      <w:rPr>
        <w:sz w:val="20"/>
        <w:szCs w:val="20"/>
      </w:rPr>
      <w:t>–38620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4" w:rsidRPr="00CC0B47" w:rsidRDefault="004706C4">
    <w:pPr>
      <w:pStyle w:val="Header"/>
      <w:rPr>
        <w:sz w:val="20"/>
        <w:szCs w:val="20"/>
      </w:rPr>
    </w:pPr>
    <w:r>
      <w:tab/>
    </w:r>
    <w:r>
      <w:tab/>
    </w:r>
    <w:r w:rsidRPr="00CC0B47">
      <w:rPr>
        <w:sz w:val="20"/>
        <w:szCs w:val="20"/>
      </w:rPr>
      <w:t xml:space="preserve">Szt </w:t>
    </w:r>
    <w:r>
      <w:rPr>
        <w:sz w:val="20"/>
        <w:szCs w:val="20"/>
      </w:rPr>
      <w:t>–</w:t>
    </w:r>
    <w:r w:rsidRPr="00CC0B47">
      <w:rPr>
        <w:sz w:val="20"/>
        <w:szCs w:val="20"/>
      </w:rPr>
      <w:t xml:space="preserve"> </w:t>
    </w:r>
    <w:r>
      <w:rPr>
        <w:sz w:val="20"/>
        <w:szCs w:val="20"/>
      </w:rPr>
      <w:t>38620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43DC6"/>
    <w:multiLevelType w:val="hybridMultilevel"/>
    <w:tmpl w:val="6802A30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104"/>
    <w:rsid w:val="000038BE"/>
    <w:rsid w:val="00062687"/>
    <w:rsid w:val="000631F2"/>
    <w:rsid w:val="0009014C"/>
    <w:rsid w:val="00092382"/>
    <w:rsid w:val="000A2057"/>
    <w:rsid w:val="000A61F2"/>
    <w:rsid w:val="000B30FE"/>
    <w:rsid w:val="000B68CA"/>
    <w:rsid w:val="001578B7"/>
    <w:rsid w:val="00165F43"/>
    <w:rsid w:val="001701C9"/>
    <w:rsid w:val="001A7178"/>
    <w:rsid w:val="001D30CF"/>
    <w:rsid w:val="0027160F"/>
    <w:rsid w:val="00284874"/>
    <w:rsid w:val="002C37E0"/>
    <w:rsid w:val="002D5F22"/>
    <w:rsid w:val="002E3D89"/>
    <w:rsid w:val="003506A1"/>
    <w:rsid w:val="00363495"/>
    <w:rsid w:val="00365249"/>
    <w:rsid w:val="00367596"/>
    <w:rsid w:val="00397460"/>
    <w:rsid w:val="003D368B"/>
    <w:rsid w:val="004706C4"/>
    <w:rsid w:val="004A3EDC"/>
    <w:rsid w:val="004C3400"/>
    <w:rsid w:val="00552D86"/>
    <w:rsid w:val="00584294"/>
    <w:rsid w:val="005D448B"/>
    <w:rsid w:val="00601227"/>
    <w:rsid w:val="006015AB"/>
    <w:rsid w:val="00670DDE"/>
    <w:rsid w:val="00674F15"/>
    <w:rsid w:val="0067778E"/>
    <w:rsid w:val="006D3683"/>
    <w:rsid w:val="006E1F89"/>
    <w:rsid w:val="00781132"/>
    <w:rsid w:val="007A7502"/>
    <w:rsid w:val="007D68FF"/>
    <w:rsid w:val="007E5E9B"/>
    <w:rsid w:val="007F0BE0"/>
    <w:rsid w:val="0080656B"/>
    <w:rsid w:val="00861FF5"/>
    <w:rsid w:val="0086280A"/>
    <w:rsid w:val="00881CC0"/>
    <w:rsid w:val="008E129B"/>
    <w:rsid w:val="008F3536"/>
    <w:rsid w:val="00991F44"/>
    <w:rsid w:val="00A278F1"/>
    <w:rsid w:val="00A32D70"/>
    <w:rsid w:val="00A34390"/>
    <w:rsid w:val="00A85704"/>
    <w:rsid w:val="00AB02B2"/>
    <w:rsid w:val="00B106FA"/>
    <w:rsid w:val="00BD3CD6"/>
    <w:rsid w:val="00BD3D8B"/>
    <w:rsid w:val="00BF5EF7"/>
    <w:rsid w:val="00C01DED"/>
    <w:rsid w:val="00C802C3"/>
    <w:rsid w:val="00CC0B47"/>
    <w:rsid w:val="00CC50B7"/>
    <w:rsid w:val="00D06260"/>
    <w:rsid w:val="00D1632F"/>
    <w:rsid w:val="00D17188"/>
    <w:rsid w:val="00D24B30"/>
    <w:rsid w:val="00D52ED1"/>
    <w:rsid w:val="00D71604"/>
    <w:rsid w:val="00DD1DAF"/>
    <w:rsid w:val="00DE763C"/>
    <w:rsid w:val="00E06FAB"/>
    <w:rsid w:val="00E07E93"/>
    <w:rsid w:val="00E364D5"/>
    <w:rsid w:val="00ED6709"/>
    <w:rsid w:val="00F11062"/>
    <w:rsid w:val="00F11535"/>
    <w:rsid w:val="00FB2104"/>
    <w:rsid w:val="00FB7A91"/>
    <w:rsid w:val="00FF1D9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0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B2104"/>
    <w:pPr>
      <w:widowControl w:val="0"/>
      <w:overflowPunct w:val="0"/>
      <w:autoSpaceDE w:val="0"/>
      <w:autoSpaceDN w:val="0"/>
      <w:adjustRightInd w:val="0"/>
      <w:ind w:right="759"/>
      <w:jc w:val="both"/>
    </w:pPr>
    <w:rPr>
      <w:rFonts w:ascii="Arial" w:hAnsi="Arial"/>
      <w:szCs w:val="20"/>
    </w:rPr>
  </w:style>
  <w:style w:type="character" w:customStyle="1" w:styleId="BodyTextChar">
    <w:name w:val="Body Text Char"/>
    <w:basedOn w:val="DefaultParagraphFont"/>
    <w:link w:val="BodyText"/>
    <w:uiPriority w:val="99"/>
    <w:locked/>
    <w:rsid w:val="00FB2104"/>
    <w:rPr>
      <w:rFonts w:ascii="Arial" w:hAnsi="Arial" w:cs="Times New Roman"/>
      <w:sz w:val="20"/>
      <w:szCs w:val="20"/>
      <w:lang w:eastAsia="hu-HU"/>
    </w:rPr>
  </w:style>
  <w:style w:type="paragraph" w:styleId="Footer">
    <w:name w:val="footer"/>
    <w:basedOn w:val="Normal"/>
    <w:link w:val="FooterChar"/>
    <w:uiPriority w:val="99"/>
    <w:rsid w:val="00FB2104"/>
    <w:pPr>
      <w:tabs>
        <w:tab w:val="center" w:pos="4536"/>
        <w:tab w:val="right" w:pos="9072"/>
      </w:tabs>
    </w:pPr>
  </w:style>
  <w:style w:type="character" w:customStyle="1" w:styleId="FooterChar">
    <w:name w:val="Footer Char"/>
    <w:basedOn w:val="DefaultParagraphFont"/>
    <w:link w:val="Footer"/>
    <w:uiPriority w:val="99"/>
    <w:locked/>
    <w:rsid w:val="00FB2104"/>
    <w:rPr>
      <w:rFonts w:ascii="Times New Roman" w:hAnsi="Times New Roman" w:cs="Times New Roman"/>
      <w:sz w:val="24"/>
      <w:szCs w:val="24"/>
      <w:lang w:eastAsia="hu-HU"/>
    </w:rPr>
  </w:style>
  <w:style w:type="paragraph" w:styleId="Header">
    <w:name w:val="header"/>
    <w:basedOn w:val="Normal"/>
    <w:link w:val="HeaderChar"/>
    <w:uiPriority w:val="99"/>
    <w:rsid w:val="00CC0B47"/>
    <w:pPr>
      <w:tabs>
        <w:tab w:val="center" w:pos="4536"/>
        <w:tab w:val="right" w:pos="9072"/>
      </w:tabs>
    </w:pPr>
  </w:style>
  <w:style w:type="character" w:customStyle="1" w:styleId="HeaderChar">
    <w:name w:val="Header Char"/>
    <w:basedOn w:val="DefaultParagraphFont"/>
    <w:link w:val="Header"/>
    <w:uiPriority w:val="99"/>
    <w:locked/>
    <w:rsid w:val="00CC0B47"/>
    <w:rPr>
      <w:rFonts w:ascii="Times New Roman" w:hAnsi="Times New Roman" w:cs="Times New Roman"/>
      <w:sz w:val="24"/>
      <w:szCs w:val="24"/>
      <w:lang w:eastAsia="hu-HU"/>
    </w:rPr>
  </w:style>
  <w:style w:type="paragraph" w:styleId="BalloonText">
    <w:name w:val="Balloon Text"/>
    <w:basedOn w:val="Normal"/>
    <w:link w:val="BalloonTextChar"/>
    <w:uiPriority w:val="99"/>
    <w:semiHidden/>
    <w:rsid w:val="000901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14C"/>
    <w:rPr>
      <w:rFonts w:ascii="Tahoma"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divs>
    <w:div w:id="2095857428">
      <w:marLeft w:val="0"/>
      <w:marRight w:val="0"/>
      <w:marTop w:val="0"/>
      <w:marBottom w:val="0"/>
      <w:divBdr>
        <w:top w:val="none" w:sz="0" w:space="0" w:color="auto"/>
        <w:left w:val="none" w:sz="0" w:space="0" w:color="auto"/>
        <w:bottom w:val="none" w:sz="0" w:space="0" w:color="auto"/>
        <w:right w:val="none" w:sz="0" w:space="0" w:color="auto"/>
      </w:divBdr>
    </w:div>
    <w:div w:id="2095857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1984</Words>
  <Characters>13691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MEGÁLLAPODÁS</dc:title>
  <dc:subject/>
  <dc:creator>Papp Andrea dr.</dc:creator>
  <cp:keywords/>
  <dc:description/>
  <cp:lastModifiedBy>Horváth Ildikó dr.</cp:lastModifiedBy>
  <cp:revision>5</cp:revision>
  <cp:lastPrinted>2012-09-27T12:20:00Z</cp:lastPrinted>
  <dcterms:created xsi:type="dcterms:W3CDTF">2012-10-17T14:29:00Z</dcterms:created>
  <dcterms:modified xsi:type="dcterms:W3CDTF">2012-10-17T14:45:00Z</dcterms:modified>
</cp:coreProperties>
</file>