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D4" w:rsidRDefault="003301D4">
      <w:pPr>
        <w:jc w:val="both"/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650"/>
        <w:gridCol w:w="3560"/>
      </w:tblGrid>
      <w:tr w:rsidR="003301D4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3301D4" w:rsidRDefault="003301D4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</w:rPr>
              <w:t>Az előterjesztést tárgyalta:</w:t>
            </w:r>
          </w:p>
        </w:tc>
        <w:tc>
          <w:tcPr>
            <w:tcW w:w="3560" w:type="dxa"/>
          </w:tcPr>
          <w:p w:rsidR="003301D4" w:rsidRDefault="003301D4">
            <w:pPr>
              <w:ind w:left="290" w:hanging="290"/>
              <w:rPr>
                <w:rFonts w:cs="Arial"/>
                <w:sz w:val="22"/>
              </w:rPr>
            </w:pPr>
          </w:p>
        </w:tc>
      </w:tr>
      <w:tr w:rsidR="003301D4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3301D4" w:rsidRDefault="003301D4">
            <w:pPr>
              <w:jc w:val="right"/>
              <w:rPr>
                <w:rFonts w:cs="Arial"/>
                <w:bCs/>
                <w:sz w:val="22"/>
              </w:rPr>
            </w:pPr>
          </w:p>
        </w:tc>
        <w:tc>
          <w:tcPr>
            <w:tcW w:w="3560" w:type="dxa"/>
          </w:tcPr>
          <w:p w:rsidR="003301D4" w:rsidRPr="006B7B5A" w:rsidRDefault="003301D4" w:rsidP="006B7B5A">
            <w:pPr>
              <w:ind w:left="290" w:hanging="29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Pénzügyi és Gazdasági Bizottság   </w:t>
            </w:r>
          </w:p>
        </w:tc>
      </w:tr>
      <w:tr w:rsidR="003301D4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3301D4" w:rsidRDefault="003301D4">
            <w:pPr>
              <w:jc w:val="right"/>
              <w:rPr>
                <w:rFonts w:cs="Arial"/>
                <w:bCs/>
                <w:sz w:val="22"/>
              </w:rPr>
            </w:pPr>
          </w:p>
        </w:tc>
        <w:tc>
          <w:tcPr>
            <w:tcW w:w="3560" w:type="dxa"/>
          </w:tcPr>
          <w:p w:rsidR="003301D4" w:rsidRDefault="003301D4" w:rsidP="00657C20">
            <w:pPr>
              <w:ind w:left="290" w:hanging="29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Városfejlesztési, -üzemeltetési és Környezetvédelmi Bizottság</w:t>
            </w:r>
          </w:p>
        </w:tc>
      </w:tr>
      <w:tr w:rsidR="003301D4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3301D4" w:rsidRDefault="003301D4">
            <w:pPr>
              <w:jc w:val="right"/>
              <w:rPr>
                <w:rFonts w:cs="Arial"/>
                <w:bCs/>
                <w:sz w:val="22"/>
              </w:rPr>
            </w:pPr>
          </w:p>
        </w:tc>
        <w:tc>
          <w:tcPr>
            <w:tcW w:w="3560" w:type="dxa"/>
          </w:tcPr>
          <w:p w:rsidR="003301D4" w:rsidRDefault="003301D4" w:rsidP="00657C20">
            <w:pPr>
              <w:ind w:left="290" w:hanging="29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Kulturális és Társadalmi Kapcsol</w:t>
            </w:r>
            <w:r>
              <w:rPr>
                <w:rFonts w:cs="Arial"/>
                <w:bCs/>
                <w:sz w:val="22"/>
              </w:rPr>
              <w:t>a</w:t>
            </w:r>
            <w:r>
              <w:rPr>
                <w:rFonts w:cs="Arial"/>
                <w:bCs/>
                <w:sz w:val="22"/>
              </w:rPr>
              <w:t xml:space="preserve">tok Bizottsága </w:t>
            </w:r>
          </w:p>
          <w:p w:rsidR="003301D4" w:rsidRDefault="003301D4" w:rsidP="00657C20">
            <w:pPr>
              <w:ind w:left="290" w:hanging="29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Költségvetési Szakmai Bizottság</w:t>
            </w:r>
          </w:p>
        </w:tc>
      </w:tr>
    </w:tbl>
    <w:p w:rsidR="003301D4" w:rsidRDefault="003301D4">
      <w:pPr>
        <w:pStyle w:val="Title"/>
        <w:tabs>
          <w:tab w:val="left" w:pos="3969"/>
          <w:tab w:val="left" w:pos="5400"/>
        </w:tabs>
        <w:spacing w:line="240" w:lineRule="auto"/>
        <w:ind w:left="5400" w:hanging="360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ab/>
      </w:r>
    </w:p>
    <w:p w:rsidR="003301D4" w:rsidRDefault="003301D4">
      <w:pPr>
        <w:pStyle w:val="Title"/>
        <w:tabs>
          <w:tab w:val="left" w:pos="3969"/>
          <w:tab w:val="left" w:pos="5400"/>
        </w:tabs>
        <w:spacing w:after="480" w:line="240" w:lineRule="auto"/>
        <w:ind w:left="5398" w:hanging="357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A határozati javaslatot törvényességi szempontból megvizsgáltam:</w:t>
      </w:r>
    </w:p>
    <w:p w:rsidR="003301D4" w:rsidRDefault="003301D4">
      <w:pPr>
        <w:pStyle w:val="Title"/>
        <w:tabs>
          <w:tab w:val="center" w:pos="7655"/>
        </w:tabs>
        <w:spacing w:line="240" w:lineRule="auto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ab/>
        <w:t>(: dr. Kaczmarski János :)</w:t>
      </w:r>
    </w:p>
    <w:p w:rsidR="003301D4" w:rsidRDefault="003301D4">
      <w:pPr>
        <w:pStyle w:val="Title"/>
        <w:tabs>
          <w:tab w:val="center" w:pos="7655"/>
        </w:tabs>
        <w:spacing w:after="240" w:line="240" w:lineRule="auto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ab/>
        <w:t>jegyző</w:t>
      </w:r>
    </w:p>
    <w:p w:rsidR="003301D4" w:rsidRDefault="003301D4">
      <w:pPr>
        <w:spacing w:after="120"/>
        <w:jc w:val="center"/>
        <w:rPr>
          <w:rFonts w:cs="Arial"/>
          <w:b/>
          <w:bCs/>
          <w:spacing w:val="20"/>
          <w:u w:val="single"/>
        </w:rPr>
      </w:pPr>
      <w:r>
        <w:rPr>
          <w:rFonts w:cs="Arial"/>
          <w:b/>
          <w:bCs/>
          <w:spacing w:val="30"/>
          <w:u w:val="single"/>
        </w:rPr>
        <w:t>ELŐTERJESZTÉS</w:t>
      </w:r>
    </w:p>
    <w:p w:rsidR="003301D4" w:rsidRDefault="003301D4">
      <w:pPr>
        <w:spacing w:after="240"/>
        <w:jc w:val="center"/>
      </w:pPr>
      <w:r>
        <w:t>Szombathely Megyei Jogú Város Közgyűlésének 2008. november 27.-i ülés</w:t>
      </w:r>
      <w:r>
        <w:t>é</w:t>
      </w:r>
      <w:r>
        <w:t>re</w:t>
      </w:r>
    </w:p>
    <w:p w:rsidR="003301D4" w:rsidRDefault="003301D4">
      <w:pPr>
        <w:pStyle w:val="BodyText2"/>
        <w:rPr>
          <w:b/>
          <w:bCs/>
          <w:u w:val="single"/>
        </w:rPr>
      </w:pPr>
      <w:r>
        <w:t>Javaslat az „AGÓRA SAVARIA” az új szellemi városközpont kialakítása beruházási programjára</w:t>
      </w:r>
    </w:p>
    <w:p w:rsidR="003301D4" w:rsidRDefault="003301D4" w:rsidP="00E9051C">
      <w:pPr>
        <w:pStyle w:val="BodyText"/>
        <w:spacing w:after="120"/>
        <w:ind w:left="360"/>
        <w:rPr>
          <w:rFonts w:cs="Arial"/>
        </w:rPr>
      </w:pPr>
      <w:r>
        <w:rPr>
          <w:rFonts w:cs="Arial"/>
        </w:rPr>
        <w:t>Szombathely Megyei Jogú Város Önkormányzata a 179/2008. (IV. 24.) Kgy. sz</w:t>
      </w:r>
      <w:r>
        <w:rPr>
          <w:rFonts w:cs="Arial"/>
        </w:rPr>
        <w:t>á</w:t>
      </w:r>
      <w:r>
        <w:rPr>
          <w:rFonts w:cs="Arial"/>
        </w:rPr>
        <w:t>mú határozatával döntött a HEMO déli szárnyának felújításáról, oly módon, hogy az épületben színház működése biztosított legyen. Ehhez bru</w:t>
      </w:r>
      <w:r>
        <w:rPr>
          <w:rFonts w:cs="Arial"/>
        </w:rPr>
        <w:t>t</w:t>
      </w:r>
      <w:r>
        <w:rPr>
          <w:rFonts w:cs="Arial"/>
        </w:rPr>
        <w:t>tó 600 000 000.-Ft összeget biztosít a</w:t>
      </w:r>
      <w:r w:rsidRPr="00AF2D05">
        <w:rPr>
          <w:rFonts w:cs="Arial"/>
        </w:rPr>
        <w:t xml:space="preserve"> </w:t>
      </w:r>
      <w:r>
        <w:rPr>
          <w:rFonts w:cs="Arial"/>
        </w:rPr>
        <w:t>2009. évi költségvetési rendeletében. A Közgyűlés a projekt beruházási programját 178/2008. (IV. 24.) Kgy. számú határoz</w:t>
      </w:r>
      <w:r>
        <w:rPr>
          <w:rFonts w:cs="Arial"/>
        </w:rPr>
        <w:t>a</w:t>
      </w:r>
      <w:r>
        <w:rPr>
          <w:rFonts w:cs="Arial"/>
        </w:rPr>
        <w:t>tával elfogadta.</w:t>
      </w:r>
    </w:p>
    <w:p w:rsidR="003301D4" w:rsidRDefault="003301D4" w:rsidP="00E9051C">
      <w:pPr>
        <w:pStyle w:val="BodyText"/>
        <w:spacing w:after="120"/>
        <w:ind w:left="360"/>
        <w:rPr>
          <w:rFonts w:cs="Arial"/>
        </w:rPr>
      </w:pPr>
      <w:r>
        <w:rPr>
          <w:rFonts w:cs="Arial"/>
        </w:rPr>
        <w:t>Ezt követően kiírásra került a Társadalmi Infrastruktúra Operatív Program keret</w:t>
      </w:r>
      <w:r>
        <w:rPr>
          <w:rFonts w:cs="Arial"/>
        </w:rPr>
        <w:t>é</w:t>
      </w:r>
      <w:r>
        <w:rPr>
          <w:rFonts w:cs="Arial"/>
        </w:rPr>
        <w:t>ben az „AGÓRA Multifunkcionális Közösségi Központok és Területi Közművel</w:t>
      </w:r>
      <w:r>
        <w:rPr>
          <w:rFonts w:cs="Arial"/>
        </w:rPr>
        <w:t>ő</w:t>
      </w:r>
      <w:r>
        <w:rPr>
          <w:rFonts w:cs="Arial"/>
        </w:rPr>
        <w:t>dési Tanácsadó Szolgálat Infrastrukturális feltételeinek kialakít</w:t>
      </w:r>
      <w:r>
        <w:rPr>
          <w:rFonts w:cs="Arial"/>
        </w:rPr>
        <w:t>á</w:t>
      </w:r>
      <w:r>
        <w:rPr>
          <w:rFonts w:cs="Arial"/>
        </w:rPr>
        <w:t>sa” című pályázat, melynek célja olyan közművelődési intézményrendszer kialakítása, amely a kö</w:t>
      </w:r>
      <w:r>
        <w:rPr>
          <w:rFonts w:cs="Arial"/>
        </w:rPr>
        <w:t>z</w:t>
      </w:r>
      <w:r>
        <w:rPr>
          <w:rFonts w:cs="Arial"/>
        </w:rPr>
        <w:t>oktatási és közművelődési rendszer összekapcsolása, az egész életen át tartó tanulás feltételeinek javítása és infrastrukturális hátterének kialakítása, illetve fe</w:t>
      </w:r>
      <w:r>
        <w:rPr>
          <w:rFonts w:cs="Arial"/>
        </w:rPr>
        <w:t>j</w:t>
      </w:r>
      <w:r>
        <w:rPr>
          <w:rFonts w:cs="Arial"/>
        </w:rPr>
        <w:t>lesztése révén lehetőséget teremt a jobb minőségű kulturális szolgáltatások bi</w:t>
      </w:r>
      <w:r>
        <w:rPr>
          <w:rFonts w:cs="Arial"/>
        </w:rPr>
        <w:t>z</w:t>
      </w:r>
      <w:r>
        <w:rPr>
          <w:rFonts w:cs="Arial"/>
        </w:rPr>
        <w:t>tosítására.</w:t>
      </w:r>
    </w:p>
    <w:p w:rsidR="003301D4" w:rsidRDefault="003301D4" w:rsidP="00E9051C">
      <w:pPr>
        <w:pStyle w:val="BodyText"/>
        <w:spacing w:after="120"/>
        <w:ind w:left="360"/>
        <w:rPr>
          <w:rFonts w:cs="Arial"/>
        </w:rPr>
      </w:pPr>
      <w:r>
        <w:rPr>
          <w:rFonts w:cs="Arial"/>
        </w:rPr>
        <w:t>A pályázat kétfordulós. Az első fordulóban a projektötlet bemutatása a feladat, a második fordulóban kell a projektet részletesen kidolgozva benyújtani.</w:t>
      </w:r>
    </w:p>
    <w:p w:rsidR="003301D4" w:rsidRDefault="003301D4" w:rsidP="00E9051C">
      <w:pPr>
        <w:pStyle w:val="BodyText"/>
        <w:spacing w:after="120"/>
        <w:ind w:left="360"/>
        <w:rPr>
          <w:rFonts w:cs="Arial"/>
        </w:rPr>
      </w:pPr>
      <w:r>
        <w:rPr>
          <w:rFonts w:cs="Arial"/>
        </w:rPr>
        <w:t>Szombathely Megyei Jogú város Közgyűlése 59/2008. (II. 28.) Kgy. számú hat</w:t>
      </w:r>
      <w:r>
        <w:rPr>
          <w:rFonts w:cs="Arial"/>
        </w:rPr>
        <w:t>á</w:t>
      </w:r>
      <w:r>
        <w:rPr>
          <w:rFonts w:cs="Arial"/>
        </w:rPr>
        <w:t>rozatával döntött a pályázaton történő részvételről. A pályázat célja a HEMO ép</w:t>
      </w:r>
      <w:r>
        <w:rPr>
          <w:rFonts w:cs="Arial"/>
        </w:rPr>
        <w:t>ü</w:t>
      </w:r>
      <w:r>
        <w:rPr>
          <w:rFonts w:cs="Arial"/>
        </w:rPr>
        <w:t xml:space="preserve">letében az Agóra intézménytípus létrehozása Szombathelyen egy új komplexum építésével és a városban működő közművelődési intézmények racionálásával. A projekt során kialakításra kerül a meglévő épület bővítésével egy </w:t>
      </w:r>
      <w:smartTag w:uri="urn:schemas-microsoft-com:office:smarttags" w:element="metricconverter">
        <w:smartTagPr>
          <w:attr w:name="ProductID" w:val="7285 m2"/>
        </w:smartTagPr>
        <w:r>
          <w:rPr>
            <w:rFonts w:cs="Arial"/>
          </w:rPr>
          <w:t>7285 m2</w:t>
        </w:r>
      </w:smartTag>
      <w:r>
        <w:rPr>
          <w:rFonts w:cs="Arial"/>
        </w:rPr>
        <w:t xml:space="preserve"> nettó szintalapterületű, új funkciókat is magába foglaló multifunkcionális közösségi kö</w:t>
      </w:r>
      <w:r>
        <w:rPr>
          <w:rFonts w:cs="Arial"/>
        </w:rPr>
        <w:t>z</w:t>
      </w:r>
      <w:r>
        <w:rPr>
          <w:rFonts w:cs="Arial"/>
        </w:rPr>
        <w:t>pont, amely alkalmas a közösségi-művelődési, oktatási-felnőttképzési és élmény funkciókat integráló működésre. A projekt része az intézmény tevékenységtíp</w:t>
      </w:r>
      <w:r>
        <w:rPr>
          <w:rFonts w:cs="Arial"/>
        </w:rPr>
        <w:t>u</w:t>
      </w:r>
      <w:r>
        <w:rPr>
          <w:rFonts w:cs="Arial"/>
        </w:rPr>
        <w:t>soknak megfelelő infrastrukturális feltételeinek megteremtése is. Az intézmény a partneri szándéknyilatkozatok alapján 352 település számára kínál közművelőd</w:t>
      </w:r>
      <w:r>
        <w:rPr>
          <w:rFonts w:cs="Arial"/>
        </w:rPr>
        <w:t>é</w:t>
      </w:r>
      <w:r>
        <w:rPr>
          <w:rFonts w:cs="Arial"/>
        </w:rPr>
        <w:t>si szolgáltatásokat. A fejlesztés révén növekedni fog a városban nyújtott szolgá</w:t>
      </w:r>
      <w:r>
        <w:rPr>
          <w:rFonts w:cs="Arial"/>
        </w:rPr>
        <w:t>l</w:t>
      </w:r>
      <w:r>
        <w:rPr>
          <w:rFonts w:cs="Arial"/>
        </w:rPr>
        <w:t>tatások mennyisége és minősége és az igénybe vevők száma.</w:t>
      </w:r>
    </w:p>
    <w:p w:rsidR="003301D4" w:rsidRDefault="003301D4" w:rsidP="00F17F95">
      <w:pPr>
        <w:pStyle w:val="BodyText"/>
        <w:spacing w:after="120"/>
        <w:ind w:left="360"/>
        <w:rPr>
          <w:rFonts w:cs="Arial"/>
          <w:szCs w:val="24"/>
        </w:rPr>
      </w:pPr>
      <w:r>
        <w:t>A benyújtott pályázat eredményéről az OKM Támogatáskezelő Igazgatóság 2008. október 17.-én kelt levelében értesítette Szombathely Megyei Jogú Város Ö</w:t>
      </w:r>
      <w:r>
        <w:t>n</w:t>
      </w:r>
      <w:r>
        <w:t xml:space="preserve">kormányzatát. A </w:t>
      </w:r>
      <w:r>
        <w:rPr>
          <w:szCs w:val="24"/>
        </w:rPr>
        <w:t xml:space="preserve">projektfejlesztés támogatására - </w:t>
      </w:r>
      <w:r w:rsidRPr="00F64CDC">
        <w:rPr>
          <w:b/>
          <w:szCs w:val="24"/>
        </w:rPr>
        <w:t xml:space="preserve">maximálisan </w:t>
      </w:r>
      <w:r>
        <w:t xml:space="preserve">1 460 182 000.-Ft </w:t>
      </w:r>
      <w:r w:rsidRPr="00F64CDC">
        <w:rPr>
          <w:b/>
          <w:szCs w:val="24"/>
        </w:rPr>
        <w:t>ne</w:t>
      </w:r>
      <w:r w:rsidRPr="00F64CDC">
        <w:rPr>
          <w:b/>
          <w:szCs w:val="24"/>
        </w:rPr>
        <w:t>t</w:t>
      </w:r>
      <w:r w:rsidRPr="00F64CDC">
        <w:rPr>
          <w:b/>
          <w:szCs w:val="24"/>
        </w:rPr>
        <w:t>tó</w:t>
      </w:r>
      <w:r>
        <w:t xml:space="preserve"> - támogatási összegről döntött </w:t>
      </w:r>
      <w:r>
        <w:rPr>
          <w:szCs w:val="24"/>
        </w:rPr>
        <w:t>(76,24% támogatási intenzitás) az OKM,</w:t>
      </w:r>
      <w:r>
        <w:t xml:space="preserve"> és a második fordulóban benyújtandó részletes kidolgozásra alkalmasnak ítélte a projektet. </w:t>
      </w:r>
      <w:r>
        <w:rPr>
          <w:rFonts w:cs="Arial"/>
          <w:szCs w:val="24"/>
        </w:rPr>
        <w:t>A Közreműködő szervezet (OKM Támogatáskezelő Igazgatóság) a m</w:t>
      </w:r>
      <w:r>
        <w:rPr>
          <w:rFonts w:cs="Arial"/>
          <w:szCs w:val="24"/>
        </w:rPr>
        <w:t>á</w:t>
      </w:r>
      <w:r>
        <w:rPr>
          <w:rFonts w:cs="Arial"/>
          <w:szCs w:val="24"/>
        </w:rPr>
        <w:t xml:space="preserve">sodik fordulóban benyújtandó adatok alapján </w:t>
      </w:r>
      <w:r w:rsidRPr="004725EE">
        <w:rPr>
          <w:rFonts w:cs="Arial"/>
          <w:b/>
          <w:szCs w:val="24"/>
        </w:rPr>
        <w:t xml:space="preserve">kisebb összegű támogatásról is </w:t>
      </w:r>
      <w:r>
        <w:rPr>
          <w:rFonts w:cs="Arial"/>
          <w:szCs w:val="24"/>
        </w:rPr>
        <w:t>dönthet, melynek következtében az önerő összege is módosul.</w:t>
      </w:r>
    </w:p>
    <w:p w:rsidR="003301D4" w:rsidRPr="00F17F95" w:rsidRDefault="003301D4" w:rsidP="00F17F95">
      <w:pPr>
        <w:pStyle w:val="BodyText"/>
        <w:spacing w:after="120"/>
        <w:ind w:left="360"/>
        <w:rPr>
          <w:rFonts w:cs="Arial"/>
        </w:rPr>
      </w:pPr>
      <w:r>
        <w:t>A támogatásra javasolt összeg felhasználására s</w:t>
      </w:r>
      <w:r>
        <w:rPr>
          <w:szCs w:val="24"/>
        </w:rPr>
        <w:t>ikeres második fordulós pály</w:t>
      </w:r>
      <w:r>
        <w:rPr>
          <w:szCs w:val="24"/>
        </w:rPr>
        <w:t>á</w:t>
      </w:r>
      <w:r>
        <w:rPr>
          <w:szCs w:val="24"/>
        </w:rPr>
        <w:t>zat esetén köthető támogatási sze</w:t>
      </w:r>
      <w:r>
        <w:rPr>
          <w:szCs w:val="24"/>
        </w:rPr>
        <w:t>r</w:t>
      </w:r>
      <w:r>
        <w:rPr>
          <w:szCs w:val="24"/>
        </w:rPr>
        <w:t xml:space="preserve">ződés. </w:t>
      </w:r>
    </w:p>
    <w:p w:rsidR="003301D4" w:rsidRPr="009802AF" w:rsidRDefault="003301D4" w:rsidP="00F17F95">
      <w:pPr>
        <w:ind w:left="360"/>
        <w:jc w:val="both"/>
        <w:rPr>
          <w:rFonts w:cs="Arial"/>
        </w:rPr>
      </w:pPr>
      <w:r>
        <w:rPr>
          <w:rFonts w:cs="Arial"/>
        </w:rPr>
        <w:t xml:space="preserve">A támogatási szerződés </w:t>
      </w:r>
      <w:r w:rsidRPr="00A96AEF">
        <w:rPr>
          <w:rFonts w:cs="Arial"/>
          <w:b/>
        </w:rPr>
        <w:t>maximális összeggel történő megkötése esetén</w:t>
      </w:r>
      <w:r>
        <w:rPr>
          <w:rFonts w:cs="Arial"/>
        </w:rPr>
        <w:t xml:space="preserve"> vá</w:t>
      </w:r>
      <w:r>
        <w:rPr>
          <w:rFonts w:cs="Arial"/>
        </w:rPr>
        <w:t>r</w:t>
      </w:r>
      <w:r>
        <w:rPr>
          <w:rFonts w:cs="Arial"/>
        </w:rPr>
        <w:t xml:space="preserve">ható költségmegoszlás: (Táblázatosan a beruházás </w:t>
      </w:r>
      <w:r w:rsidRPr="009802AF">
        <w:rPr>
          <w:rFonts w:cs="Arial"/>
        </w:rPr>
        <w:t>kiadásai, a szükséges ö</w:t>
      </w:r>
      <w:r w:rsidRPr="009802AF">
        <w:rPr>
          <w:rFonts w:cs="Arial"/>
        </w:rPr>
        <w:t>n</w:t>
      </w:r>
      <w:r w:rsidRPr="009802AF">
        <w:rPr>
          <w:rFonts w:cs="Arial"/>
        </w:rPr>
        <w:t>erő, a támogatás összege, és a visszaigényelhető áfa összege éves felbontásban a kö</w:t>
      </w:r>
      <w:r>
        <w:rPr>
          <w:rFonts w:cs="Arial"/>
        </w:rPr>
        <w:t>vetkezően alakul</w:t>
      </w:r>
      <w:r w:rsidRPr="009802AF">
        <w:rPr>
          <w:rFonts w:cs="Arial"/>
        </w:rPr>
        <w:t xml:space="preserve"> </w:t>
      </w:r>
      <w:r>
        <w:rPr>
          <w:rFonts w:cs="Arial"/>
        </w:rPr>
        <w:t>-</w:t>
      </w:r>
      <w:r w:rsidRPr="009802AF">
        <w:rPr>
          <w:rFonts w:cs="Arial"/>
        </w:rPr>
        <w:t xml:space="preserve"> ezer Ft-ban )</w:t>
      </w:r>
      <w:r>
        <w:rPr>
          <w:rFonts w:cs="Arial"/>
        </w:rPr>
        <w:t>.</w:t>
      </w:r>
    </w:p>
    <w:p w:rsidR="003301D4" w:rsidRPr="00F17F95" w:rsidRDefault="003301D4" w:rsidP="00F17F95">
      <w:pPr>
        <w:ind w:left="360"/>
        <w:jc w:val="both"/>
        <w:rPr>
          <w:rFonts w:cs="Arial"/>
          <w:b/>
        </w:rPr>
      </w:pPr>
    </w:p>
    <w:tbl>
      <w:tblPr>
        <w:tblStyle w:val="TableGrid"/>
        <w:tblW w:w="0" w:type="auto"/>
        <w:jc w:val="right"/>
        <w:tblInd w:w="468" w:type="dxa"/>
        <w:tblLook w:val="01E0"/>
      </w:tblPr>
      <w:tblGrid>
        <w:gridCol w:w="1800"/>
        <w:gridCol w:w="1466"/>
        <w:gridCol w:w="1814"/>
        <w:gridCol w:w="1869"/>
        <w:gridCol w:w="1869"/>
      </w:tblGrid>
      <w:tr w:rsidR="003301D4" w:rsidRPr="00F17F95" w:rsidTr="00030406">
        <w:trPr>
          <w:jc w:val="right"/>
        </w:trPr>
        <w:tc>
          <w:tcPr>
            <w:tcW w:w="1800" w:type="dxa"/>
          </w:tcPr>
          <w:p w:rsidR="003301D4" w:rsidRPr="00F17F95" w:rsidRDefault="003301D4" w:rsidP="00F17F95">
            <w:pPr>
              <w:ind w:left="360"/>
              <w:rPr>
                <w:rFonts w:cs="Arial"/>
                <w:b/>
              </w:rPr>
            </w:pPr>
          </w:p>
        </w:tc>
        <w:tc>
          <w:tcPr>
            <w:tcW w:w="1466" w:type="dxa"/>
          </w:tcPr>
          <w:p w:rsidR="003301D4" w:rsidRPr="00F17F95" w:rsidRDefault="003301D4" w:rsidP="00F17F95">
            <w:pPr>
              <w:ind w:left="360"/>
              <w:jc w:val="center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2008 év</w:t>
            </w:r>
          </w:p>
        </w:tc>
        <w:tc>
          <w:tcPr>
            <w:tcW w:w="1814" w:type="dxa"/>
          </w:tcPr>
          <w:p w:rsidR="003301D4" w:rsidRPr="00F17F95" w:rsidRDefault="003301D4" w:rsidP="00F17F95">
            <w:pPr>
              <w:ind w:left="360"/>
              <w:jc w:val="center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2009 év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center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2010 év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center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összesen</w:t>
            </w:r>
          </w:p>
        </w:tc>
      </w:tr>
      <w:tr w:rsidR="003301D4" w:rsidRPr="00F17F95" w:rsidTr="00030406">
        <w:trPr>
          <w:jc w:val="right"/>
        </w:trPr>
        <w:tc>
          <w:tcPr>
            <w:tcW w:w="1800" w:type="dxa"/>
          </w:tcPr>
          <w:p w:rsidR="003301D4" w:rsidRPr="00F17F95" w:rsidRDefault="003301D4" w:rsidP="00030406">
            <w:pPr>
              <w:ind w:left="72"/>
              <w:jc w:val="both"/>
              <w:rPr>
                <w:rFonts w:cs="Arial"/>
              </w:rPr>
            </w:pPr>
            <w:r w:rsidRPr="00F17F95">
              <w:rPr>
                <w:rFonts w:cs="Arial"/>
              </w:rPr>
              <w:t>Áfa vissz</w:t>
            </w:r>
            <w:r w:rsidRPr="00F17F95">
              <w:rPr>
                <w:rFonts w:cs="Arial"/>
              </w:rPr>
              <w:t>a</w:t>
            </w:r>
            <w:r w:rsidRPr="00F17F95">
              <w:rPr>
                <w:rFonts w:cs="Arial"/>
              </w:rPr>
              <w:t>igénylés</w:t>
            </w:r>
          </w:p>
        </w:tc>
        <w:tc>
          <w:tcPr>
            <w:tcW w:w="1466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</w:rPr>
            </w:pPr>
            <w:r w:rsidRPr="00F17F95">
              <w:rPr>
                <w:rFonts w:cs="Arial"/>
              </w:rPr>
              <w:t>9 345,-</w:t>
            </w:r>
          </w:p>
        </w:tc>
        <w:tc>
          <w:tcPr>
            <w:tcW w:w="1814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</w:rPr>
            </w:pPr>
            <w:r w:rsidRPr="00F17F95">
              <w:rPr>
                <w:rFonts w:cs="Arial"/>
              </w:rPr>
              <w:t>117 500,-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</w:rPr>
            </w:pPr>
            <w:r w:rsidRPr="00F17F95">
              <w:rPr>
                <w:rFonts w:cs="Arial"/>
              </w:rPr>
              <w:t>280 149,-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406 993,-</w:t>
            </w:r>
          </w:p>
        </w:tc>
      </w:tr>
      <w:tr w:rsidR="003301D4" w:rsidRPr="00F17F95" w:rsidTr="00030406">
        <w:trPr>
          <w:trHeight w:val="384"/>
          <w:jc w:val="right"/>
        </w:trPr>
        <w:tc>
          <w:tcPr>
            <w:tcW w:w="1800" w:type="dxa"/>
          </w:tcPr>
          <w:p w:rsidR="003301D4" w:rsidRDefault="003301D4" w:rsidP="00030406">
            <w:pPr>
              <w:ind w:left="72"/>
              <w:jc w:val="both"/>
              <w:rPr>
                <w:rFonts w:cs="Arial"/>
              </w:rPr>
            </w:pPr>
            <w:r w:rsidRPr="00F17F95">
              <w:rPr>
                <w:rFonts w:cs="Arial"/>
              </w:rPr>
              <w:t>Támogatás</w:t>
            </w:r>
          </w:p>
          <w:p w:rsidR="003301D4" w:rsidRPr="00F17F95" w:rsidRDefault="003301D4" w:rsidP="00030406">
            <w:pPr>
              <w:ind w:left="72"/>
              <w:jc w:val="both"/>
              <w:rPr>
                <w:rFonts w:cs="Arial"/>
              </w:rPr>
            </w:pPr>
            <w:r>
              <w:rPr>
                <w:rFonts w:cs="Arial"/>
              </w:rPr>
              <w:t>max. ö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>szege</w:t>
            </w:r>
          </w:p>
        </w:tc>
        <w:tc>
          <w:tcPr>
            <w:tcW w:w="1466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</w:rPr>
            </w:pPr>
            <w:r w:rsidRPr="00F17F95">
              <w:rPr>
                <w:rFonts w:cs="Arial"/>
              </w:rPr>
              <w:t>0</w:t>
            </w:r>
          </w:p>
        </w:tc>
        <w:tc>
          <w:tcPr>
            <w:tcW w:w="1814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</w:rPr>
            </w:pPr>
            <w:r w:rsidRPr="00F17F95">
              <w:rPr>
                <w:rFonts w:cs="Arial"/>
              </w:rPr>
              <w:t>381 200,-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</w:rPr>
            </w:pPr>
            <w:r w:rsidRPr="00F17F95">
              <w:rPr>
                <w:rFonts w:cs="Arial"/>
              </w:rPr>
              <w:t>1 079 023,-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1 460 223,-</w:t>
            </w:r>
          </w:p>
        </w:tc>
      </w:tr>
      <w:tr w:rsidR="003301D4" w:rsidRPr="00F17F95" w:rsidTr="00030406">
        <w:trPr>
          <w:trHeight w:val="405"/>
          <w:jc w:val="right"/>
        </w:trPr>
        <w:tc>
          <w:tcPr>
            <w:tcW w:w="1800" w:type="dxa"/>
          </w:tcPr>
          <w:p w:rsidR="003301D4" w:rsidRPr="00F17F95" w:rsidRDefault="003301D4" w:rsidP="00030406">
            <w:pPr>
              <w:ind w:left="72"/>
              <w:jc w:val="both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Önerő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466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46 723,-</w:t>
            </w:r>
          </w:p>
        </w:tc>
        <w:tc>
          <w:tcPr>
            <w:tcW w:w="1814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206 300,-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336 275,-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589 298,-</w:t>
            </w:r>
          </w:p>
        </w:tc>
      </w:tr>
      <w:tr w:rsidR="003301D4" w:rsidRPr="00F17F95" w:rsidTr="00030406">
        <w:trPr>
          <w:trHeight w:val="425"/>
          <w:jc w:val="right"/>
        </w:trPr>
        <w:tc>
          <w:tcPr>
            <w:tcW w:w="1800" w:type="dxa"/>
          </w:tcPr>
          <w:p w:rsidR="003301D4" w:rsidRDefault="003301D4" w:rsidP="00030406">
            <w:pPr>
              <w:ind w:left="72"/>
              <w:jc w:val="both"/>
              <w:rPr>
                <w:rFonts w:cs="Arial"/>
              </w:rPr>
            </w:pPr>
            <w:r w:rsidRPr="00F17F95">
              <w:rPr>
                <w:rFonts w:cs="Arial"/>
              </w:rPr>
              <w:t>Össz</w:t>
            </w:r>
            <w:r>
              <w:rPr>
                <w:rFonts w:cs="Arial"/>
              </w:rPr>
              <w:t>es</w:t>
            </w:r>
          </w:p>
          <w:p w:rsidR="003301D4" w:rsidRPr="00F17F95" w:rsidRDefault="003301D4" w:rsidP="00030406">
            <w:pPr>
              <w:ind w:left="72"/>
              <w:jc w:val="both"/>
              <w:rPr>
                <w:rFonts w:cs="Arial"/>
              </w:rPr>
            </w:pPr>
            <w:r w:rsidRPr="00F17F95">
              <w:rPr>
                <w:rFonts w:cs="Arial"/>
              </w:rPr>
              <w:t>k</w:t>
            </w:r>
            <w:r w:rsidRPr="00F17F95">
              <w:rPr>
                <w:rFonts w:cs="Arial"/>
              </w:rPr>
              <w:t>i</w:t>
            </w:r>
            <w:r w:rsidRPr="00F17F95">
              <w:rPr>
                <w:rFonts w:cs="Arial"/>
              </w:rPr>
              <w:t>adás</w:t>
            </w:r>
          </w:p>
        </w:tc>
        <w:tc>
          <w:tcPr>
            <w:tcW w:w="1466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</w:rPr>
            </w:pPr>
            <w:r w:rsidRPr="00F17F95">
              <w:rPr>
                <w:rFonts w:cs="Arial"/>
              </w:rPr>
              <w:t>56 067,-</w:t>
            </w:r>
          </w:p>
        </w:tc>
        <w:tc>
          <w:tcPr>
            <w:tcW w:w="1814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</w:rPr>
            </w:pPr>
            <w:r w:rsidRPr="00F17F95">
              <w:rPr>
                <w:rFonts w:cs="Arial"/>
              </w:rPr>
              <w:t>705 000,-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</w:rPr>
            </w:pPr>
            <w:r w:rsidRPr="00F17F95">
              <w:rPr>
                <w:rFonts w:cs="Arial"/>
              </w:rPr>
              <w:t>1 695 447,-</w:t>
            </w:r>
          </w:p>
        </w:tc>
        <w:tc>
          <w:tcPr>
            <w:tcW w:w="1869" w:type="dxa"/>
          </w:tcPr>
          <w:p w:rsidR="003301D4" w:rsidRPr="00F17F95" w:rsidRDefault="003301D4" w:rsidP="00F17F95">
            <w:pPr>
              <w:ind w:left="360"/>
              <w:jc w:val="right"/>
              <w:rPr>
                <w:rFonts w:cs="Arial"/>
                <w:b/>
              </w:rPr>
            </w:pPr>
            <w:r w:rsidRPr="00F17F95">
              <w:rPr>
                <w:rFonts w:cs="Arial"/>
                <w:b/>
              </w:rPr>
              <w:t>2 456 514,-</w:t>
            </w:r>
          </w:p>
        </w:tc>
      </w:tr>
    </w:tbl>
    <w:p w:rsidR="003301D4" w:rsidRPr="00F76447" w:rsidRDefault="003301D4" w:rsidP="00F17F95">
      <w:pPr>
        <w:ind w:left="360"/>
        <w:jc w:val="both"/>
        <w:rPr>
          <w:rFonts w:cs="Arial"/>
          <w:b/>
          <w:sz w:val="28"/>
          <w:szCs w:val="28"/>
        </w:rPr>
      </w:pPr>
    </w:p>
    <w:p w:rsidR="003301D4" w:rsidRPr="0043704E" w:rsidRDefault="003301D4" w:rsidP="00F17F95">
      <w:pPr>
        <w:ind w:left="360"/>
        <w:jc w:val="both"/>
        <w:rPr>
          <w:rFonts w:cs="Arial"/>
          <w:bCs/>
        </w:rPr>
      </w:pPr>
    </w:p>
    <w:p w:rsidR="003301D4" w:rsidRDefault="003301D4" w:rsidP="00F17F95">
      <w:pPr>
        <w:tabs>
          <w:tab w:val="num" w:pos="993"/>
        </w:tabs>
        <w:ind w:left="360"/>
        <w:jc w:val="both"/>
        <w:rPr>
          <w:rFonts w:cs="Arial"/>
        </w:rPr>
      </w:pPr>
      <w:r w:rsidRPr="001C0014">
        <w:rPr>
          <w:rFonts w:cs="Arial"/>
          <w:b/>
        </w:rPr>
        <w:t>Sikertelen AGÓRA pályázat esetén az I. ütem felújításának teljes összegét a</w:t>
      </w:r>
      <w:r w:rsidRPr="00D56649">
        <w:rPr>
          <w:rFonts w:cs="Arial"/>
        </w:rPr>
        <w:t xml:space="preserve"> v</w:t>
      </w:r>
      <w:r w:rsidRPr="00D56649">
        <w:rPr>
          <w:rFonts w:cs="Arial"/>
        </w:rPr>
        <w:t>á</w:t>
      </w:r>
      <w:r w:rsidRPr="00D56649">
        <w:rPr>
          <w:rFonts w:cs="Arial"/>
        </w:rPr>
        <w:t>rosnak kell biztosítania</w:t>
      </w:r>
      <w:r>
        <w:rPr>
          <w:rFonts w:cs="Arial"/>
        </w:rPr>
        <w:t xml:space="preserve"> a 179/2008 (IV. 24.) Kgy. számú határozat értelmében</w:t>
      </w:r>
      <w:r w:rsidRPr="00D56649">
        <w:rPr>
          <w:rFonts w:cs="Arial"/>
        </w:rPr>
        <w:t xml:space="preserve">. </w:t>
      </w:r>
    </w:p>
    <w:p w:rsidR="003301D4" w:rsidRDefault="003301D4" w:rsidP="00F17F95">
      <w:pPr>
        <w:tabs>
          <w:tab w:val="num" w:pos="993"/>
        </w:tabs>
        <w:ind w:left="360"/>
        <w:jc w:val="both"/>
        <w:rPr>
          <w:rFonts w:cs="Arial"/>
          <w:bCs/>
        </w:rPr>
      </w:pPr>
    </w:p>
    <w:p w:rsidR="003301D4" w:rsidRPr="00D56649" w:rsidRDefault="003301D4" w:rsidP="00F17F95">
      <w:pPr>
        <w:tabs>
          <w:tab w:val="num" w:pos="993"/>
        </w:tabs>
        <w:ind w:left="360"/>
        <w:jc w:val="both"/>
        <w:rPr>
          <w:rFonts w:cs="Arial"/>
          <w:bCs/>
        </w:rPr>
      </w:pPr>
      <w:r>
        <w:rPr>
          <w:rFonts w:cs="Arial"/>
        </w:rPr>
        <w:t>Az „AGÓRA Multifunkcionális Közösségi Központok és Területi Közművelődési Tanácsadó Szolgálat Infrastrukturális feltételeinek kialakítása” című pályázat II. fordulójának benyújtásához szükséges további döntések meghozatalára a 2008. decemberi Közgyűlésen kerül sor.</w:t>
      </w:r>
    </w:p>
    <w:p w:rsidR="003301D4" w:rsidRPr="00D56649" w:rsidRDefault="003301D4" w:rsidP="00F17F95">
      <w:pPr>
        <w:jc w:val="both"/>
        <w:rPr>
          <w:rFonts w:cs="Arial"/>
        </w:rPr>
      </w:pPr>
    </w:p>
    <w:p w:rsidR="003301D4" w:rsidRDefault="003301D4" w:rsidP="00F17F95">
      <w:pPr>
        <w:pStyle w:val="BodyText"/>
        <w:spacing w:after="120"/>
        <w:ind w:left="360"/>
        <w:rPr>
          <w:rFonts w:cs="Arial"/>
        </w:rPr>
      </w:pPr>
      <w:r>
        <w:rPr>
          <w:rFonts w:cs="Arial"/>
        </w:rPr>
        <w:t>A jelen beruházási program a rendelkezésre álló pályázati anyag, megvalósíth</w:t>
      </w:r>
      <w:r>
        <w:rPr>
          <w:rFonts w:cs="Arial"/>
        </w:rPr>
        <w:t>a</w:t>
      </w:r>
      <w:r>
        <w:rPr>
          <w:rFonts w:cs="Arial"/>
        </w:rPr>
        <w:t>tósági tanulmányterv és építési tanulmányterv alapján készült.</w:t>
      </w:r>
    </w:p>
    <w:p w:rsidR="003301D4" w:rsidRDefault="003301D4" w:rsidP="00C258E9">
      <w:pPr>
        <w:pStyle w:val="Header"/>
        <w:tabs>
          <w:tab w:val="clear" w:pos="4536"/>
          <w:tab w:val="clear" w:pos="9072"/>
        </w:tabs>
        <w:spacing w:after="360"/>
        <w:ind w:left="360"/>
        <w:jc w:val="both"/>
        <w:rPr>
          <w:rFonts w:cs="Arial"/>
        </w:rPr>
      </w:pPr>
      <w:r>
        <w:t>Kérem a Tisztelt Közgyűlést,</w:t>
      </w:r>
      <w:r>
        <w:rPr>
          <w:rFonts w:cs="Arial"/>
        </w:rPr>
        <w:t xml:space="preserve"> </w:t>
      </w:r>
      <w:r>
        <w:t xml:space="preserve">hogy az előterjesztést és a beruházási programot </w:t>
      </w:r>
      <w:r>
        <w:rPr>
          <w:rFonts w:cs="Arial"/>
        </w:rPr>
        <w:t>szíve</w:t>
      </w:r>
      <w:r>
        <w:rPr>
          <w:rFonts w:cs="Arial"/>
        </w:rPr>
        <w:t>s</w:t>
      </w:r>
      <w:r>
        <w:rPr>
          <w:rFonts w:cs="Arial"/>
        </w:rPr>
        <w:t>kedjen</w:t>
      </w:r>
      <w:r>
        <w:t xml:space="preserve"> megvitatni és elfogadni</w:t>
      </w:r>
      <w:r>
        <w:rPr>
          <w:rFonts w:cs="Arial"/>
        </w:rPr>
        <w:t>.</w:t>
      </w:r>
    </w:p>
    <w:p w:rsidR="003301D4" w:rsidRDefault="003301D4">
      <w:pPr>
        <w:pStyle w:val="Header"/>
        <w:tabs>
          <w:tab w:val="clear" w:pos="4536"/>
          <w:tab w:val="clear" w:pos="9072"/>
        </w:tabs>
        <w:spacing w:after="600"/>
        <w:jc w:val="both"/>
        <w:rPr>
          <w:rFonts w:cs="Arial"/>
        </w:rPr>
      </w:pPr>
    </w:p>
    <w:p w:rsidR="003301D4" w:rsidRDefault="003301D4">
      <w:pPr>
        <w:pStyle w:val="Header"/>
        <w:tabs>
          <w:tab w:val="clear" w:pos="4536"/>
          <w:tab w:val="clear" w:pos="9072"/>
        </w:tabs>
        <w:spacing w:after="600"/>
        <w:jc w:val="both"/>
        <w:rPr>
          <w:rFonts w:cs="Arial"/>
        </w:rPr>
      </w:pPr>
      <w:r>
        <w:rPr>
          <w:rFonts w:cs="Arial"/>
        </w:rPr>
        <w:t>Szombathely, 2008. november „….„</w:t>
      </w:r>
    </w:p>
    <w:p w:rsidR="003301D4" w:rsidRDefault="003301D4">
      <w:pPr>
        <w:pStyle w:val="Header"/>
        <w:tabs>
          <w:tab w:val="clear" w:pos="4536"/>
          <w:tab w:val="clear" w:pos="9072"/>
          <w:tab w:val="center" w:pos="6237"/>
        </w:tabs>
        <w:spacing w:after="120"/>
        <w:ind w:left="357"/>
        <w:jc w:val="both"/>
      </w:pPr>
      <w:r>
        <w:rPr>
          <w:rFonts w:cs="Arial"/>
        </w:rPr>
        <w:tab/>
        <w:t>Dr. Ipkovich György</w:t>
      </w:r>
    </w:p>
    <w:p w:rsidR="003301D4" w:rsidRDefault="003301D4">
      <w:pPr>
        <w:pStyle w:val="Header"/>
        <w:tabs>
          <w:tab w:val="clear" w:pos="4536"/>
          <w:tab w:val="clear" w:pos="9072"/>
        </w:tabs>
        <w:spacing w:after="360"/>
        <w:jc w:val="center"/>
        <w:rPr>
          <w:b/>
          <w:bCs/>
          <w:u w:val="single"/>
        </w:rPr>
      </w:pPr>
      <w:r>
        <w:br w:type="page"/>
      </w:r>
      <w:r>
        <w:rPr>
          <w:b/>
          <w:bCs/>
          <w:u w:val="single"/>
        </w:rPr>
        <w:t>HATÁROZATI JAVASLAT</w:t>
      </w:r>
    </w:p>
    <w:p w:rsidR="003301D4" w:rsidRDefault="003301D4">
      <w:pPr>
        <w:pStyle w:val="Header"/>
        <w:tabs>
          <w:tab w:val="clear" w:pos="4536"/>
          <w:tab w:val="clear" w:pos="9072"/>
        </w:tabs>
        <w:spacing w:after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……./2008. (XI. 27.) Kgy. határozat</w:t>
      </w:r>
    </w:p>
    <w:p w:rsidR="003301D4" w:rsidRDefault="003301D4" w:rsidP="00C258E9">
      <w:pPr>
        <w:pStyle w:val="BodyTextIndent"/>
        <w:spacing w:after="240" w:line="360" w:lineRule="auto"/>
        <w:ind w:left="-142" w:firstLine="0"/>
        <w:jc w:val="both"/>
        <w:rPr>
          <w:rFonts w:cs="Arial"/>
        </w:rPr>
      </w:pPr>
    </w:p>
    <w:p w:rsidR="003301D4" w:rsidRDefault="003301D4" w:rsidP="00C258E9">
      <w:pPr>
        <w:pStyle w:val="BodyText2"/>
        <w:jc w:val="both"/>
        <w:rPr>
          <w:i w:val="0"/>
        </w:rPr>
      </w:pPr>
      <w:r w:rsidRPr="00C258E9">
        <w:rPr>
          <w:i w:val="0"/>
        </w:rPr>
        <w:t xml:space="preserve">Szombathely Megyei Jogú Város Közgyűlése az „AGÓRA SAVARIA” az új szellemi városközpont kialakítása </w:t>
      </w:r>
      <w:r>
        <w:rPr>
          <w:i w:val="0"/>
        </w:rPr>
        <w:t xml:space="preserve">projekt </w:t>
      </w:r>
      <w:r w:rsidRPr="00C258E9">
        <w:rPr>
          <w:i w:val="0"/>
        </w:rPr>
        <w:t>beruházási programjára</w:t>
      </w:r>
      <w:r>
        <w:rPr>
          <w:i w:val="0"/>
        </w:rPr>
        <w:t xml:space="preserve"> vonatkozó előterjesztést megtárgyalta, és az alábbi határozatot hozza:</w:t>
      </w:r>
    </w:p>
    <w:p w:rsidR="003301D4" w:rsidRPr="001C0014" w:rsidRDefault="003301D4" w:rsidP="001C0014">
      <w:pPr>
        <w:pStyle w:val="BodyText2"/>
        <w:ind w:left="360" w:hanging="180"/>
        <w:jc w:val="both"/>
        <w:rPr>
          <w:i w:val="0"/>
        </w:rPr>
      </w:pPr>
      <w:smartTag w:uri="urn:schemas-microsoft-com:office:smarttags" w:element="metricconverter">
        <w:smartTagPr>
          <w:attr w:name="ProductID" w:val="1. A"/>
        </w:smartTagPr>
        <w:r w:rsidRPr="001C0014">
          <w:rPr>
            <w:i w:val="0"/>
          </w:rPr>
          <w:t>1. A</w:t>
        </w:r>
      </w:smartTag>
      <w:r w:rsidRPr="001C0014">
        <w:rPr>
          <w:i w:val="0"/>
        </w:rPr>
        <w:t xml:space="preserve"> Közgyűlés az „AGÓRA SAVARIA” az új szellemi városközpont kialakítása pr</w:t>
      </w:r>
      <w:r w:rsidRPr="001C0014">
        <w:rPr>
          <w:i w:val="0"/>
        </w:rPr>
        <w:t>o</w:t>
      </w:r>
      <w:r w:rsidRPr="001C0014">
        <w:rPr>
          <w:i w:val="0"/>
        </w:rPr>
        <w:t>jekt beruházási programját megtárgyalta, és azt az előterjesztésben foglalt tart</w:t>
      </w:r>
      <w:r w:rsidRPr="001C0014">
        <w:rPr>
          <w:i w:val="0"/>
        </w:rPr>
        <w:t>a</w:t>
      </w:r>
      <w:r w:rsidRPr="001C0014">
        <w:rPr>
          <w:i w:val="0"/>
        </w:rPr>
        <w:t>lommal elfogadja.</w:t>
      </w:r>
    </w:p>
    <w:p w:rsidR="003301D4" w:rsidRPr="001C0014" w:rsidRDefault="003301D4" w:rsidP="001C0014">
      <w:pPr>
        <w:pStyle w:val="BodyText2"/>
        <w:ind w:left="360" w:hanging="180"/>
        <w:jc w:val="both"/>
        <w:rPr>
          <w:i w:val="0"/>
        </w:rPr>
      </w:pPr>
      <w:smartTag w:uri="urn:schemas-microsoft-com:office:smarttags" w:element="metricconverter">
        <w:smartTagPr>
          <w:attr w:name="ProductID" w:val="2. A"/>
        </w:smartTagPr>
        <w:r w:rsidRPr="001C0014">
          <w:rPr>
            <w:i w:val="0"/>
          </w:rPr>
          <w:t xml:space="preserve">2. </w:t>
        </w:r>
        <w:r>
          <w:rPr>
            <w:i w:val="0"/>
          </w:rPr>
          <w:t>A</w:t>
        </w:r>
      </w:smartTag>
      <w:r>
        <w:rPr>
          <w:i w:val="0"/>
        </w:rPr>
        <w:t xml:space="preserve"> Közgyűlés felkéri a polgármestert és a jegyzőt, hogy maximális összegű tám</w:t>
      </w:r>
      <w:r>
        <w:rPr>
          <w:i w:val="0"/>
        </w:rPr>
        <w:t>o</w:t>
      </w:r>
      <w:r>
        <w:rPr>
          <w:i w:val="0"/>
        </w:rPr>
        <w:t xml:space="preserve">gatás esetén a beruházáshoz szükséges </w:t>
      </w:r>
      <w:r w:rsidRPr="001C0014">
        <w:rPr>
          <w:i w:val="0"/>
        </w:rPr>
        <w:t>önerő 206 300 000,- Ft össze</w:t>
      </w:r>
      <w:r>
        <w:rPr>
          <w:i w:val="0"/>
        </w:rPr>
        <w:t>gű</w:t>
      </w:r>
      <w:r w:rsidRPr="001C0014">
        <w:rPr>
          <w:i w:val="0"/>
        </w:rPr>
        <w:t xml:space="preserve"> fedez</w:t>
      </w:r>
      <w:r w:rsidRPr="001C0014">
        <w:rPr>
          <w:i w:val="0"/>
        </w:rPr>
        <w:t>e</w:t>
      </w:r>
      <w:r>
        <w:rPr>
          <w:i w:val="0"/>
        </w:rPr>
        <w:t>téről</w:t>
      </w:r>
      <w:r w:rsidRPr="001C0014">
        <w:rPr>
          <w:i w:val="0"/>
        </w:rPr>
        <w:t xml:space="preserve"> - a Szombathely Megyei Jogú Város 2009. évi költségveté</w:t>
      </w:r>
      <w:r w:rsidRPr="001C0014">
        <w:rPr>
          <w:i w:val="0"/>
        </w:rPr>
        <w:t>s</w:t>
      </w:r>
      <w:r w:rsidRPr="001C0014">
        <w:rPr>
          <w:i w:val="0"/>
        </w:rPr>
        <w:t>ében, 336 275 000,-Ft össze</w:t>
      </w:r>
      <w:r>
        <w:rPr>
          <w:i w:val="0"/>
        </w:rPr>
        <w:t>gű fedezetéről</w:t>
      </w:r>
      <w:r w:rsidRPr="001C0014">
        <w:rPr>
          <w:i w:val="0"/>
        </w:rPr>
        <w:t xml:space="preserve"> a 2010. évi  költségvetés</w:t>
      </w:r>
      <w:r>
        <w:rPr>
          <w:i w:val="0"/>
        </w:rPr>
        <w:t>i rendeletben go</w:t>
      </w:r>
      <w:r>
        <w:rPr>
          <w:i w:val="0"/>
        </w:rPr>
        <w:t>n</w:t>
      </w:r>
      <w:r>
        <w:rPr>
          <w:i w:val="0"/>
        </w:rPr>
        <w:t>doskodjanak.</w:t>
      </w:r>
    </w:p>
    <w:p w:rsidR="003301D4" w:rsidRPr="00C258E9" w:rsidRDefault="003301D4" w:rsidP="00B112A4">
      <w:pPr>
        <w:pStyle w:val="BodyText2"/>
        <w:ind w:left="360" w:hanging="180"/>
        <w:jc w:val="both"/>
        <w:rPr>
          <w:b/>
          <w:bCs/>
          <w:i w:val="0"/>
          <w:u w:val="single"/>
        </w:rPr>
      </w:pPr>
    </w:p>
    <w:p w:rsidR="003301D4" w:rsidRDefault="003301D4" w:rsidP="00C258E9">
      <w:pPr>
        <w:pStyle w:val="BodyTextIndent"/>
        <w:spacing w:after="240" w:line="360" w:lineRule="auto"/>
        <w:ind w:left="-142" w:firstLine="0"/>
        <w:jc w:val="both"/>
        <w:rPr>
          <w:rFonts w:cs="Arial"/>
        </w:rPr>
      </w:pPr>
    </w:p>
    <w:p w:rsidR="003301D4" w:rsidRDefault="003301D4">
      <w:pPr>
        <w:pStyle w:val="Header"/>
        <w:tabs>
          <w:tab w:val="clear" w:pos="4536"/>
          <w:tab w:val="clear" w:pos="9072"/>
        </w:tabs>
        <w:ind w:left="992" w:hanging="992"/>
      </w:pPr>
      <w:r>
        <w:t>Felelős:</w:t>
      </w:r>
      <w:r>
        <w:tab/>
        <w:t>Dr. Ipkovich György polgármester</w:t>
      </w:r>
    </w:p>
    <w:p w:rsidR="003301D4" w:rsidRDefault="003301D4">
      <w:pPr>
        <w:pStyle w:val="Header"/>
        <w:tabs>
          <w:tab w:val="clear" w:pos="4536"/>
          <w:tab w:val="clear" w:pos="9072"/>
        </w:tabs>
        <w:ind w:left="992" w:hanging="992"/>
      </w:pPr>
      <w:r>
        <w:tab/>
        <w:t>Németh Kálmán alpolgármester</w:t>
      </w:r>
    </w:p>
    <w:p w:rsidR="003301D4" w:rsidRDefault="003301D4" w:rsidP="00B112A4">
      <w:pPr>
        <w:pStyle w:val="Header"/>
        <w:tabs>
          <w:tab w:val="clear" w:pos="4536"/>
          <w:tab w:val="clear" w:pos="9072"/>
        </w:tabs>
        <w:ind w:left="992"/>
      </w:pPr>
      <w:r>
        <w:t>Dr. Kaczmarski János jegyző</w:t>
      </w:r>
    </w:p>
    <w:p w:rsidR="003301D4" w:rsidRDefault="003301D4" w:rsidP="00B112A4">
      <w:pPr>
        <w:pStyle w:val="Header"/>
        <w:tabs>
          <w:tab w:val="clear" w:pos="4536"/>
          <w:tab w:val="clear" w:pos="9072"/>
        </w:tabs>
        <w:ind w:left="992"/>
      </w:pPr>
      <w:r>
        <w:t>(A végrehajtásért felelős:</w:t>
      </w:r>
    </w:p>
    <w:p w:rsidR="003301D4" w:rsidRDefault="003301D4" w:rsidP="00B112A4">
      <w:pPr>
        <w:pStyle w:val="Header"/>
        <w:tabs>
          <w:tab w:val="clear" w:pos="4536"/>
          <w:tab w:val="clear" w:pos="9072"/>
        </w:tabs>
        <w:ind w:left="992"/>
      </w:pPr>
      <w:r>
        <w:t>Ávár János, a Tisztségviselői Osztály vezetője</w:t>
      </w:r>
    </w:p>
    <w:p w:rsidR="003301D4" w:rsidRDefault="003301D4" w:rsidP="00B112A4">
      <w:pPr>
        <w:pStyle w:val="Header"/>
        <w:tabs>
          <w:tab w:val="clear" w:pos="4536"/>
          <w:tab w:val="clear" w:pos="9072"/>
        </w:tabs>
        <w:ind w:left="992"/>
      </w:pPr>
      <w:r>
        <w:t>Lakézi Gábor, a Városfejlesztési és Üzemeltetési Osztály vezetője</w:t>
      </w:r>
    </w:p>
    <w:p w:rsidR="003301D4" w:rsidRDefault="003301D4" w:rsidP="00B112A4">
      <w:pPr>
        <w:pStyle w:val="Header"/>
        <w:tabs>
          <w:tab w:val="clear" w:pos="4536"/>
          <w:tab w:val="clear" w:pos="9072"/>
        </w:tabs>
        <w:ind w:left="992"/>
      </w:pPr>
      <w:r>
        <w:t>Stéger Gábor, a Közgazdasági Osztály vezetője)</w:t>
      </w:r>
    </w:p>
    <w:p w:rsidR="003301D4" w:rsidRDefault="003301D4" w:rsidP="00B112A4">
      <w:pPr>
        <w:pStyle w:val="Header"/>
        <w:tabs>
          <w:tab w:val="clear" w:pos="4536"/>
          <w:tab w:val="clear" w:pos="9072"/>
        </w:tabs>
        <w:ind w:left="992"/>
      </w:pPr>
    </w:p>
    <w:p w:rsidR="003301D4" w:rsidRDefault="003301D4" w:rsidP="00B112A4">
      <w:pPr>
        <w:pStyle w:val="Header"/>
        <w:tabs>
          <w:tab w:val="clear" w:pos="4536"/>
          <w:tab w:val="clear" w:pos="9072"/>
        </w:tabs>
        <w:ind w:left="992"/>
      </w:pPr>
    </w:p>
    <w:p w:rsidR="003301D4" w:rsidRDefault="003301D4">
      <w:pPr>
        <w:pStyle w:val="Header"/>
        <w:tabs>
          <w:tab w:val="clear" w:pos="4536"/>
          <w:tab w:val="clear" w:pos="9072"/>
          <w:tab w:val="left" w:pos="993"/>
        </w:tabs>
        <w:ind w:left="993" w:hanging="993"/>
        <w:jc w:val="both"/>
      </w:pPr>
      <w:r>
        <w:t>Határidő:</w:t>
      </w:r>
      <w:r>
        <w:tab/>
        <w:t xml:space="preserve"> 1. pont tekintetében: azonnal</w:t>
      </w:r>
    </w:p>
    <w:p w:rsidR="003301D4" w:rsidRDefault="003301D4" w:rsidP="001C0014">
      <w:pPr>
        <w:pStyle w:val="Header"/>
        <w:tabs>
          <w:tab w:val="clear" w:pos="4536"/>
          <w:tab w:val="clear" w:pos="9072"/>
          <w:tab w:val="left" w:pos="993"/>
        </w:tabs>
        <w:ind w:left="993" w:hanging="993"/>
        <w:jc w:val="both"/>
      </w:pPr>
      <w:r>
        <w:tab/>
        <w:t xml:space="preserve"> 2. pont tekintetében: </w:t>
      </w:r>
    </w:p>
    <w:p w:rsidR="003301D4" w:rsidRDefault="003301D4" w:rsidP="001C0014">
      <w:pPr>
        <w:pStyle w:val="Header"/>
        <w:tabs>
          <w:tab w:val="clear" w:pos="4536"/>
          <w:tab w:val="clear" w:pos="9072"/>
          <w:tab w:val="left" w:pos="993"/>
        </w:tabs>
        <w:ind w:left="993" w:hanging="993"/>
        <w:jc w:val="both"/>
      </w:pPr>
      <w:r>
        <w:tab/>
      </w:r>
      <w:r>
        <w:tab/>
      </w:r>
      <w:r>
        <w:tab/>
      </w:r>
      <w:r>
        <w:tab/>
        <w:t>2009. és 2010. évi költségvetési rendelet megalkot</w:t>
      </w:r>
      <w:r>
        <w:t>á</w:t>
      </w:r>
      <w:r>
        <w:t>sa</w:t>
      </w:r>
    </w:p>
    <w:p w:rsidR="003301D4" w:rsidRDefault="003301D4">
      <w:pPr>
        <w:pStyle w:val="Header"/>
        <w:tabs>
          <w:tab w:val="clear" w:pos="4536"/>
          <w:tab w:val="clear" w:pos="9072"/>
          <w:tab w:val="left" w:pos="993"/>
        </w:tabs>
        <w:ind w:left="993" w:hanging="993"/>
        <w:jc w:val="both"/>
      </w:pPr>
    </w:p>
    <w:sectPr w:rsidR="003301D4" w:rsidSect="003301D4">
      <w:footerReference w:type="default" r:id="rId7"/>
      <w:headerReference w:type="first" r:id="rId8"/>
      <w:footerReference w:type="first" r:id="rId9"/>
      <w:pgSz w:w="11906" w:h="16838"/>
      <w:pgMar w:top="959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D4" w:rsidRDefault="003301D4">
      <w:r>
        <w:separator/>
      </w:r>
    </w:p>
  </w:endnote>
  <w:endnote w:type="continuationSeparator" w:id="1">
    <w:p w:rsidR="003301D4" w:rsidRDefault="0033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D4" w:rsidRDefault="003301D4">
    <w:pPr>
      <w:pStyle w:val="Footer"/>
      <w:rPr>
        <w:sz w:val="20"/>
      </w:rPr>
    </w:pPr>
    <w:r>
      <w:rPr>
        <w:sz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D4" w:rsidRDefault="003301D4">
    <w:pPr>
      <w:pStyle w:val="Footer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D4" w:rsidRDefault="003301D4">
      <w:r>
        <w:separator/>
      </w:r>
    </w:p>
  </w:footnote>
  <w:footnote w:type="continuationSeparator" w:id="1">
    <w:p w:rsidR="003301D4" w:rsidRDefault="00330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D4" w:rsidRDefault="003301D4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cs="Arial"/>
      </w:rPr>
      <w:tab/>
    </w: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7.5pt;height:81pt">
          <v:imagedata r:id="rId1" o:title=""/>
        </v:shape>
      </w:pict>
    </w:r>
  </w:p>
  <w:p w:rsidR="003301D4" w:rsidRDefault="003301D4">
    <w:pPr>
      <w:pStyle w:val="Header"/>
      <w:tabs>
        <w:tab w:val="clear" w:pos="4536"/>
        <w:tab w:val="center" w:pos="1843"/>
        <w:tab w:val="center" w:pos="7020"/>
      </w:tabs>
      <w:rPr>
        <w:rFonts w:cs="Arial"/>
        <w:smallCaps/>
      </w:rPr>
    </w:pPr>
    <w:r>
      <w:tab/>
    </w:r>
    <w:r>
      <w:rPr>
        <w:rFonts w:cs="Arial"/>
        <w:smallCaps/>
      </w:rPr>
      <w:t>Szombathely Megyei Jogú Város</w:t>
    </w:r>
  </w:p>
  <w:p w:rsidR="003301D4" w:rsidRDefault="003301D4">
    <w:pPr>
      <w:tabs>
        <w:tab w:val="center" w:pos="1800"/>
        <w:tab w:val="center" w:pos="7020"/>
      </w:tabs>
      <w:rPr>
        <w:rFonts w:cs="Arial"/>
        <w:sz w:val="20"/>
      </w:rPr>
    </w:pPr>
    <w:r>
      <w:rPr>
        <w:rFonts w:cs="Arial"/>
        <w:smallCaps/>
      </w:rPr>
      <w:tab/>
    </w:r>
    <w:r>
      <w:rPr>
        <w:rFonts w:cs="Arial"/>
        <w:bCs/>
        <w:smallCaps/>
        <w:sz w:val="22"/>
      </w:rPr>
      <w:t>Polgármestere</w:t>
    </w:r>
  </w:p>
  <w:p w:rsidR="003301D4" w:rsidRDefault="003301D4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694"/>
    <w:multiLevelType w:val="hybridMultilevel"/>
    <w:tmpl w:val="DA0A33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50C66FF"/>
    <w:multiLevelType w:val="hybridMultilevel"/>
    <w:tmpl w:val="71D0BE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DEF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265E05"/>
    <w:multiLevelType w:val="hybridMultilevel"/>
    <w:tmpl w:val="46F81C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3F1B73"/>
    <w:multiLevelType w:val="hybridMultilevel"/>
    <w:tmpl w:val="856642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024628"/>
    <w:multiLevelType w:val="multilevel"/>
    <w:tmpl w:val="FD32126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047"/>
        </w:tabs>
        <w:ind w:left="2047" w:hanging="36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710"/>
        </w:tabs>
        <w:ind w:left="2710" w:hanging="363"/>
      </w:pPr>
      <w:rPr>
        <w:rFonts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427"/>
        </w:tabs>
        <w:ind w:left="3374" w:hanging="30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BD5558"/>
    <w:multiLevelType w:val="hybridMultilevel"/>
    <w:tmpl w:val="BB9837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0138F4"/>
    <w:multiLevelType w:val="hybridMultilevel"/>
    <w:tmpl w:val="54886ADE"/>
    <w:lvl w:ilvl="0" w:tplc="040E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7">
    <w:nsid w:val="7C11719F"/>
    <w:multiLevelType w:val="hybridMultilevel"/>
    <w:tmpl w:val="71D0BE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0F6906"/>
    <w:multiLevelType w:val="multilevel"/>
    <w:tmpl w:val="FD32126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047"/>
        </w:tabs>
        <w:ind w:left="2047" w:hanging="36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710"/>
        </w:tabs>
        <w:ind w:left="2710" w:hanging="363"/>
      </w:pPr>
      <w:rPr>
        <w:rFonts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427"/>
        </w:tabs>
        <w:ind w:left="3374" w:hanging="30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autoHyphenation/>
  <w:hyphenationZone w:val="425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D05"/>
    <w:rsid w:val="00030406"/>
    <w:rsid w:val="0013236A"/>
    <w:rsid w:val="001C0014"/>
    <w:rsid w:val="001F7CDD"/>
    <w:rsid w:val="003301D4"/>
    <w:rsid w:val="003E136A"/>
    <w:rsid w:val="0043704E"/>
    <w:rsid w:val="004725EE"/>
    <w:rsid w:val="005166FD"/>
    <w:rsid w:val="005476DB"/>
    <w:rsid w:val="00553673"/>
    <w:rsid w:val="005B4CC3"/>
    <w:rsid w:val="005C3C49"/>
    <w:rsid w:val="00657C20"/>
    <w:rsid w:val="00694154"/>
    <w:rsid w:val="006B7B5A"/>
    <w:rsid w:val="007A1C65"/>
    <w:rsid w:val="00833B6D"/>
    <w:rsid w:val="00852055"/>
    <w:rsid w:val="008964B8"/>
    <w:rsid w:val="009802AF"/>
    <w:rsid w:val="00A96AEF"/>
    <w:rsid w:val="00AD5516"/>
    <w:rsid w:val="00AF2D05"/>
    <w:rsid w:val="00B112A4"/>
    <w:rsid w:val="00B22669"/>
    <w:rsid w:val="00C24519"/>
    <w:rsid w:val="00C258E9"/>
    <w:rsid w:val="00CB64E0"/>
    <w:rsid w:val="00D455A3"/>
    <w:rsid w:val="00D56649"/>
    <w:rsid w:val="00D67455"/>
    <w:rsid w:val="00E84EE6"/>
    <w:rsid w:val="00E9051C"/>
    <w:rsid w:val="00F17F95"/>
    <w:rsid w:val="00F64CDC"/>
    <w:rsid w:val="00F7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8C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8CE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38CE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146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8CE"/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line="360" w:lineRule="auto"/>
      <w:jc w:val="center"/>
    </w:pPr>
    <w:rPr>
      <w:rFonts w:ascii="Times New Roman" w:hAnsi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138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8CE"/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57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8CE"/>
    <w:rPr>
      <w:rFonts w:ascii="Arial" w:hAnsi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spacing w:after="360"/>
      <w:jc w:val="center"/>
    </w:pPr>
    <w:rPr>
      <w:rFonts w:cs="Arial"/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8CE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F17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716</Words>
  <Characters>4948</Characters>
  <Application>Microsoft Office Outlook</Application>
  <DocSecurity>0</DocSecurity>
  <Lines>0</Lines>
  <Paragraphs>0</Paragraphs>
  <ScaleCrop>false</ScaleCrop>
  <Company>SzMJV Polgármesteri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Művészeti Szki</dc:title>
  <dc:subject>kgy előterj bőv- felúj 12 miós maradék lemondásáról</dc:subject>
  <dc:creator>Borsodi István</dc:creator>
  <cp:keywords/>
  <dc:description/>
  <cp:lastModifiedBy>Szabóné Marton Erzsébet</cp:lastModifiedBy>
  <cp:revision>10</cp:revision>
  <cp:lastPrinted>2008-11-18T08:25:00Z</cp:lastPrinted>
  <dcterms:created xsi:type="dcterms:W3CDTF">2008-11-13T10:50:00Z</dcterms:created>
  <dcterms:modified xsi:type="dcterms:W3CDTF">2008-11-18T09:49:00Z</dcterms:modified>
</cp:coreProperties>
</file>