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028" w:rsidRPr="00C24028" w:rsidRDefault="00C24028" w:rsidP="00C2402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C24028">
        <w:rPr>
          <w:rFonts w:ascii="Calibri" w:eastAsia="Times New Roman" w:hAnsi="Calibri" w:cs="Calibri"/>
          <w:b/>
          <w:bCs/>
          <w:u w:val="single"/>
          <w:lang w:eastAsia="hu-HU"/>
        </w:rPr>
        <w:t xml:space="preserve">78/2026. (III.26.) Kgy. </w:t>
      </w:r>
      <w:proofErr w:type="gramStart"/>
      <w:r w:rsidRPr="00C24028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C24028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C24028" w:rsidRPr="00C24028" w:rsidRDefault="00C24028" w:rsidP="00C24028">
      <w:pPr>
        <w:spacing w:after="0" w:line="240" w:lineRule="auto"/>
        <w:rPr>
          <w:rFonts w:ascii="Calibri" w:eastAsia="Times New Roman" w:hAnsi="Calibri" w:cs="Calibri"/>
          <w:b/>
          <w:bCs/>
          <w:lang w:eastAsia="hu-HU"/>
        </w:rPr>
      </w:pPr>
    </w:p>
    <w:p w:rsidR="00C24028" w:rsidRPr="00C24028" w:rsidRDefault="00C24028" w:rsidP="00C2402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C24028">
        <w:rPr>
          <w:rFonts w:ascii="Calibri" w:eastAsia="Times New Roman" w:hAnsi="Calibri" w:cs="Calibri"/>
          <w:lang w:eastAsia="hu-HU"/>
        </w:rPr>
        <w:t xml:space="preserve">Szombathely Megyei Jogú Város Közgyűlése a K086.29 - M86 gyorsforgalmi út </w:t>
      </w:r>
      <w:proofErr w:type="spellStart"/>
      <w:r w:rsidRPr="00C24028">
        <w:rPr>
          <w:rFonts w:ascii="Calibri" w:eastAsia="Times New Roman" w:hAnsi="Calibri" w:cs="Calibri"/>
          <w:lang w:eastAsia="hu-HU"/>
        </w:rPr>
        <w:t>Körmend-Szombathely-Zanat</w:t>
      </w:r>
      <w:proofErr w:type="spellEnd"/>
      <w:r w:rsidRPr="00C24028">
        <w:rPr>
          <w:rFonts w:ascii="Calibri" w:eastAsia="Times New Roman" w:hAnsi="Calibri" w:cs="Calibri"/>
          <w:lang w:eastAsia="hu-HU"/>
        </w:rPr>
        <w:t xml:space="preserve"> közötti szakaszának megvalósításához szükséges, a 2. pontban foglalt táblázat szerint kisajátítandó ingatlanok tulajdonjogának a Magyar Állam részére történő átruházásával egyetért, egyúttal felhatalmazza a polgármestert a tulajdonjog átruházásához szükséges dokumentumok aláírására.</w:t>
      </w:r>
    </w:p>
    <w:p w:rsidR="00C24028" w:rsidRPr="00C24028" w:rsidRDefault="00C24028" w:rsidP="00C24028">
      <w:p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eastAsia="hu-HU"/>
        </w:rPr>
      </w:pPr>
    </w:p>
    <w:p w:rsidR="00C24028" w:rsidRPr="00C24028" w:rsidRDefault="00C24028" w:rsidP="00C2402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hd w:val="clear" w:color="auto" w:fill="FFFFFF"/>
          <w:lang w:eastAsia="hu-HU"/>
        </w:rPr>
      </w:pPr>
      <w:r w:rsidRPr="00C24028">
        <w:rPr>
          <w:rFonts w:ascii="Calibri" w:eastAsia="Times New Roman" w:hAnsi="Calibri" w:cs="Calibri"/>
          <w:lang w:eastAsia="hu-HU"/>
        </w:rPr>
        <w:t xml:space="preserve">A Közgyűlés Szombathely Megyei Jogú Város Önkormányzata vagyonáról szóló 40/2014. (XII. 23.) önkormányzati rendelet 2. § (7)-(8) bekezdése alapján a Szombathely Megyei Jogú Város Önkormányzata tulajdonát képező alábbi ingatlanokat a törzsvagyoni körből kivonja, és </w:t>
      </w:r>
      <w:r w:rsidRPr="00C24028">
        <w:rPr>
          <w:rFonts w:ascii="Calibri" w:eastAsia="Times New Roman" w:hAnsi="Calibri" w:cs="Calibri"/>
          <w:shd w:val="clear" w:color="auto" w:fill="FFFFFF"/>
          <w:lang w:eastAsia="hu-HU"/>
        </w:rPr>
        <w:t>üzleti vagyonba átsorolja.</w:t>
      </w:r>
    </w:p>
    <w:p w:rsidR="00C24028" w:rsidRPr="00C24028" w:rsidRDefault="00C24028" w:rsidP="00C2402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760"/>
        <w:gridCol w:w="1140"/>
        <w:gridCol w:w="1440"/>
        <w:gridCol w:w="3500"/>
        <w:gridCol w:w="1196"/>
      </w:tblGrid>
      <w:tr w:rsidR="00C24028" w:rsidRPr="00C24028" w:rsidTr="00456D58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176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Kisajátítandó </w:t>
            </w:r>
            <w:proofErr w:type="spellStart"/>
            <w:r w:rsidRPr="00C240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hrsz</w:t>
            </w:r>
            <w:proofErr w:type="spellEnd"/>
          </w:p>
        </w:tc>
        <w:tc>
          <w:tcPr>
            <w:tcW w:w="11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Terület m²</w:t>
            </w:r>
          </w:p>
        </w:tc>
        <w:tc>
          <w:tcPr>
            <w:tcW w:w="14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50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Forgalomképesség</w:t>
            </w:r>
          </w:p>
        </w:tc>
        <w:tc>
          <w:tcPr>
            <w:tcW w:w="1196" w:type="dxa"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Vételár Ft</w:t>
            </w:r>
          </w:p>
        </w:tc>
      </w:tr>
      <w:tr w:rsidR="00C24028" w:rsidRPr="00C24028" w:rsidTr="00456D58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0319/4</w:t>
            </w:r>
          </w:p>
        </w:tc>
        <w:tc>
          <w:tcPr>
            <w:tcW w:w="176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0319/19</w:t>
            </w:r>
          </w:p>
        </w:tc>
        <w:tc>
          <w:tcPr>
            <w:tcW w:w="11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4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Forgalomképtelen törvény alapján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22.950</w:t>
            </w:r>
          </w:p>
        </w:tc>
      </w:tr>
      <w:tr w:rsidR="00C24028" w:rsidRPr="00C24028" w:rsidTr="00456D58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0319/5</w:t>
            </w:r>
          </w:p>
        </w:tc>
        <w:tc>
          <w:tcPr>
            <w:tcW w:w="176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0319/5</w:t>
            </w:r>
          </w:p>
        </w:tc>
        <w:tc>
          <w:tcPr>
            <w:tcW w:w="11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3 288</w:t>
            </w:r>
          </w:p>
        </w:tc>
        <w:tc>
          <w:tcPr>
            <w:tcW w:w="14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1.006.128</w:t>
            </w:r>
          </w:p>
        </w:tc>
      </w:tr>
      <w:tr w:rsidR="00C24028" w:rsidRPr="00C24028" w:rsidTr="00456D58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0333/17</w:t>
            </w:r>
          </w:p>
        </w:tc>
        <w:tc>
          <w:tcPr>
            <w:tcW w:w="176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0333/17</w:t>
            </w:r>
          </w:p>
        </w:tc>
        <w:tc>
          <w:tcPr>
            <w:tcW w:w="11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560</w:t>
            </w:r>
          </w:p>
        </w:tc>
        <w:tc>
          <w:tcPr>
            <w:tcW w:w="14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171.360</w:t>
            </w:r>
          </w:p>
        </w:tc>
      </w:tr>
      <w:tr w:rsidR="00C24028" w:rsidRPr="00C24028" w:rsidTr="00456D58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0333/4</w:t>
            </w:r>
          </w:p>
        </w:tc>
        <w:tc>
          <w:tcPr>
            <w:tcW w:w="176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0333/4</w:t>
            </w:r>
          </w:p>
        </w:tc>
        <w:tc>
          <w:tcPr>
            <w:tcW w:w="11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1 719</w:t>
            </w:r>
          </w:p>
        </w:tc>
        <w:tc>
          <w:tcPr>
            <w:tcW w:w="14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350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526.014</w:t>
            </w:r>
          </w:p>
        </w:tc>
      </w:tr>
      <w:tr w:rsidR="00C24028" w:rsidRPr="00C24028" w:rsidTr="00456D58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0333/22</w:t>
            </w:r>
          </w:p>
        </w:tc>
        <w:tc>
          <w:tcPr>
            <w:tcW w:w="176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0333/22</w:t>
            </w:r>
          </w:p>
        </w:tc>
        <w:tc>
          <w:tcPr>
            <w:tcW w:w="11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1 899</w:t>
            </w:r>
          </w:p>
        </w:tc>
        <w:tc>
          <w:tcPr>
            <w:tcW w:w="14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1.217.094</w:t>
            </w:r>
          </w:p>
        </w:tc>
      </w:tr>
      <w:tr w:rsidR="00C24028" w:rsidRPr="00C24028" w:rsidTr="00456D58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0333/26</w:t>
            </w:r>
          </w:p>
        </w:tc>
        <w:tc>
          <w:tcPr>
            <w:tcW w:w="176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0333/26</w:t>
            </w:r>
          </w:p>
        </w:tc>
        <w:tc>
          <w:tcPr>
            <w:tcW w:w="11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1 292</w:t>
            </w:r>
          </w:p>
        </w:tc>
        <w:tc>
          <w:tcPr>
            <w:tcW w:w="14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471.580</w:t>
            </w:r>
          </w:p>
        </w:tc>
      </w:tr>
      <w:tr w:rsidR="00C24028" w:rsidRPr="00C24028" w:rsidTr="00456D58">
        <w:trPr>
          <w:trHeight w:val="510"/>
          <w:jc w:val="center"/>
        </w:trPr>
        <w:tc>
          <w:tcPr>
            <w:tcW w:w="142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0333/31</w:t>
            </w:r>
          </w:p>
        </w:tc>
        <w:tc>
          <w:tcPr>
            <w:tcW w:w="176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0333/31</w:t>
            </w:r>
          </w:p>
        </w:tc>
        <w:tc>
          <w:tcPr>
            <w:tcW w:w="11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14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Gyümölcsös</w:t>
            </w:r>
          </w:p>
        </w:tc>
        <w:tc>
          <w:tcPr>
            <w:tcW w:w="3500" w:type="dxa"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Korlátozottan forgalomképes helyi döntés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49.714</w:t>
            </w:r>
          </w:p>
        </w:tc>
      </w:tr>
      <w:tr w:rsidR="00C24028" w:rsidRPr="00C24028" w:rsidTr="00456D58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0333/21</w:t>
            </w:r>
          </w:p>
        </w:tc>
        <w:tc>
          <w:tcPr>
            <w:tcW w:w="176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0333/174</w:t>
            </w:r>
          </w:p>
        </w:tc>
        <w:tc>
          <w:tcPr>
            <w:tcW w:w="11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902</w:t>
            </w:r>
          </w:p>
        </w:tc>
        <w:tc>
          <w:tcPr>
            <w:tcW w:w="14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276.012</w:t>
            </w:r>
          </w:p>
        </w:tc>
      </w:tr>
      <w:tr w:rsidR="00C24028" w:rsidRPr="00C24028" w:rsidTr="00456D58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0333/20</w:t>
            </w:r>
          </w:p>
        </w:tc>
        <w:tc>
          <w:tcPr>
            <w:tcW w:w="176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0333/178</w:t>
            </w:r>
          </w:p>
        </w:tc>
        <w:tc>
          <w:tcPr>
            <w:tcW w:w="11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1031</w:t>
            </w:r>
          </w:p>
        </w:tc>
        <w:tc>
          <w:tcPr>
            <w:tcW w:w="144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028" w:rsidRPr="00C24028" w:rsidRDefault="00C24028" w:rsidP="00C24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C240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376.315</w:t>
            </w:r>
          </w:p>
        </w:tc>
      </w:tr>
    </w:tbl>
    <w:p w:rsidR="00C24028" w:rsidRPr="00C24028" w:rsidRDefault="00C24028" w:rsidP="00C2402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C24028" w:rsidRPr="00C24028" w:rsidRDefault="00C24028" w:rsidP="00C2402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C24028">
        <w:rPr>
          <w:rFonts w:ascii="Calibri" w:eastAsia="Times New Roman" w:hAnsi="Calibri" w:cs="Calibri"/>
          <w:lang w:eastAsia="hu-HU"/>
        </w:rPr>
        <w:t xml:space="preserve">A Közgyűlés úgy dönt, hogy a 2. pontban megjelölt ingatlanok, ingatlanrészek forgalomképessé nyilvánításáról szóló döntés csak akkor lép hatályba, ha az Építési és Közlekedési Minisztérium, mint a Magyar Állam nevében eljáró tulajdonosi joggyakorló a forgalomképessé nyilvánítást a vételi ajánlattal érintett földrészletek állami tulajdonba kerüléséhez szükséges és elégséges feltételeként elfogadja, és a forgalomképessé nyilvánításnak egyéb akadályát nem látja, valamint a forgalomképessé nyilvánításhoz esetlegesen szükséges egyéb hatósági engedélyek rendelkezésre állnak.  </w:t>
      </w:r>
    </w:p>
    <w:p w:rsidR="00C24028" w:rsidRPr="00C24028" w:rsidRDefault="00C24028" w:rsidP="00C24028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C24028" w:rsidRPr="00C24028" w:rsidRDefault="00C24028" w:rsidP="00C24028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C24028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C24028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C24028">
        <w:rPr>
          <w:rFonts w:ascii="Calibri" w:eastAsia="Times New Roman" w:hAnsi="Calibri" w:cs="Calibri"/>
          <w:b/>
          <w:bCs/>
          <w:lang w:eastAsia="hu-HU"/>
        </w:rPr>
        <w:tab/>
      </w:r>
      <w:r w:rsidRPr="00C24028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C24028" w:rsidRPr="00C24028" w:rsidRDefault="00C24028" w:rsidP="00C24028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hu-HU"/>
        </w:rPr>
      </w:pPr>
      <w:r w:rsidRPr="00C24028"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C24028">
        <w:rPr>
          <w:rFonts w:ascii="Calibri" w:eastAsia="Times New Roman" w:hAnsi="Calibri" w:cs="Calibri"/>
          <w:lang w:eastAsia="hu-HU"/>
        </w:rPr>
        <w:t>Dr. Horváth Attila alpolgármester</w:t>
      </w:r>
    </w:p>
    <w:p w:rsidR="00C24028" w:rsidRPr="00C24028" w:rsidRDefault="00C24028" w:rsidP="00C2402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24028">
        <w:rPr>
          <w:rFonts w:ascii="Calibri" w:eastAsia="Times New Roman" w:hAnsi="Calibri" w:cs="Calibri"/>
          <w:lang w:eastAsia="hu-HU"/>
        </w:rPr>
        <w:tab/>
      </w:r>
      <w:r w:rsidRPr="00C24028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C24028" w:rsidRPr="00C24028" w:rsidRDefault="00C24028" w:rsidP="00C24028">
      <w:pPr>
        <w:spacing w:after="0" w:line="240" w:lineRule="auto"/>
        <w:jc w:val="both"/>
        <w:rPr>
          <w:rFonts w:ascii="Calibri" w:eastAsia="Times New Roman" w:hAnsi="Calibri" w:cs="Calibri"/>
          <w:u w:val="single"/>
          <w:lang w:eastAsia="hu-HU"/>
        </w:rPr>
      </w:pPr>
      <w:r w:rsidRPr="00C24028">
        <w:rPr>
          <w:rFonts w:ascii="Calibri" w:eastAsia="Times New Roman" w:hAnsi="Calibri" w:cs="Calibri"/>
          <w:lang w:eastAsia="hu-HU"/>
        </w:rPr>
        <w:tab/>
        <w:t xml:space="preserve"> </w:t>
      </w:r>
      <w:r w:rsidRPr="00C24028">
        <w:rPr>
          <w:rFonts w:ascii="Calibri" w:eastAsia="Times New Roman" w:hAnsi="Calibri" w:cs="Calibri"/>
          <w:lang w:eastAsia="hu-HU"/>
        </w:rPr>
        <w:tab/>
      </w:r>
      <w:r w:rsidRPr="00C24028">
        <w:rPr>
          <w:rFonts w:ascii="Calibri" w:eastAsia="Times New Roman" w:hAnsi="Calibri" w:cs="Calibri"/>
          <w:u w:val="single"/>
          <w:lang w:eastAsia="hu-HU"/>
        </w:rPr>
        <w:t>(A végrehajtásért:</w:t>
      </w:r>
    </w:p>
    <w:p w:rsidR="00C24028" w:rsidRPr="00C24028" w:rsidRDefault="00C24028" w:rsidP="00C24028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C24028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</w:p>
    <w:p w:rsidR="00C24028" w:rsidRPr="00C24028" w:rsidRDefault="00C24028" w:rsidP="00C24028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C24028">
        <w:rPr>
          <w:rFonts w:ascii="Calibri" w:eastAsia="Times New Roman" w:hAnsi="Calibri" w:cs="Calibri"/>
          <w:lang w:eastAsia="hu-HU"/>
        </w:rPr>
        <w:t>Stéger Gábor a Közgazdasági és Adó Osztály vezetője)</w:t>
      </w:r>
    </w:p>
    <w:p w:rsidR="00C24028" w:rsidRPr="00C24028" w:rsidRDefault="00C24028" w:rsidP="00C24028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C24028" w:rsidRPr="00C24028" w:rsidRDefault="00C24028" w:rsidP="00C240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24028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C24028">
        <w:rPr>
          <w:rFonts w:ascii="Calibri" w:eastAsia="Times New Roman" w:hAnsi="Calibri" w:cs="Calibr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F3CCF"/>
    <w:multiLevelType w:val="hybridMultilevel"/>
    <w:tmpl w:val="418C1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265362"/>
    <w:rsid w:val="00396B65"/>
    <w:rsid w:val="00413ED9"/>
    <w:rsid w:val="004456FC"/>
    <w:rsid w:val="005078A2"/>
    <w:rsid w:val="0057055F"/>
    <w:rsid w:val="005D49E2"/>
    <w:rsid w:val="00614960"/>
    <w:rsid w:val="00881FA9"/>
    <w:rsid w:val="008B7B35"/>
    <w:rsid w:val="008C21F7"/>
    <w:rsid w:val="00C24028"/>
    <w:rsid w:val="00C470E2"/>
    <w:rsid w:val="00D41F15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2026-03-26T13:09:00Z</dcterms:created>
  <dcterms:modified xsi:type="dcterms:W3CDTF">2026-03-26T13:09:00Z</dcterms:modified>
</cp:coreProperties>
</file>