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3D4F0AD" w14:textId="77777777" w:rsidR="00746871" w:rsidRDefault="00746871" w:rsidP="00746871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B21FE7A" w14:textId="77777777" w:rsidR="00746871" w:rsidRPr="004461EA" w:rsidRDefault="00746871" w:rsidP="00746871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458/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5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.(X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II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10.</w:t>
      </w:r>
      <w:r w:rsidRPr="004461E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) SzLB. sz. határozat</w:t>
      </w:r>
    </w:p>
    <w:p w14:paraId="622C8228" w14:textId="77777777" w:rsidR="00746871" w:rsidRDefault="00746871" w:rsidP="00746871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608A31D7" w14:textId="77777777" w:rsidR="00746871" w:rsidRPr="00D3268F" w:rsidRDefault="00746871" w:rsidP="00746871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 „Javaslat 202</w:t>
      </w:r>
      <w:r>
        <w:rPr>
          <w:rFonts w:asciiTheme="minorHAnsi" w:hAnsiTheme="minorHAnsi" w:cstheme="minorHAnsi"/>
          <w:sz w:val="22"/>
          <w:szCs w:val="22"/>
        </w:rPr>
        <w:t>6.</w:t>
      </w:r>
      <w:r w:rsidRPr="00D3268F">
        <w:rPr>
          <w:rFonts w:asciiTheme="minorHAnsi" w:hAnsiTheme="minorHAnsi" w:cstheme="minorHAnsi"/>
          <w:sz w:val="22"/>
          <w:szCs w:val="22"/>
        </w:rPr>
        <w:t xml:space="preserve"> évi belső ellenőrzési tervek jóváhagyására” című előterjesztést megtárgyalta, és </w:t>
      </w:r>
      <w:r>
        <w:rPr>
          <w:rFonts w:asciiTheme="minorHAnsi" w:hAnsiTheme="minorHAnsi" w:cstheme="minorHAnsi"/>
          <w:sz w:val="22"/>
          <w:szCs w:val="22"/>
        </w:rPr>
        <w:t>az I., II. és III. számú</w:t>
      </w:r>
      <w:r w:rsidRPr="00D3268F">
        <w:rPr>
          <w:rFonts w:asciiTheme="minorHAnsi" w:hAnsiTheme="minorHAnsi" w:cstheme="minorHAnsi"/>
          <w:sz w:val="22"/>
          <w:szCs w:val="22"/>
        </w:rPr>
        <w:t xml:space="preserve"> határozati javaslatot </w:t>
      </w:r>
      <w:r>
        <w:rPr>
          <w:rFonts w:asciiTheme="minorHAnsi" w:hAnsiTheme="minorHAnsi" w:cstheme="minorHAnsi"/>
          <w:sz w:val="22"/>
          <w:szCs w:val="22"/>
        </w:rPr>
        <w:t>az előterjesztés szerinti t</w:t>
      </w:r>
      <w:r w:rsidRPr="00D3268F">
        <w:rPr>
          <w:rFonts w:asciiTheme="minorHAnsi" w:hAnsiTheme="minorHAnsi" w:cstheme="minorHAnsi"/>
          <w:sz w:val="22"/>
          <w:szCs w:val="22"/>
        </w:rPr>
        <w:t>artalommal elfogadásra javasolja a Közgyűlésnek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A6E1DE" w14:textId="77777777" w:rsidR="00746871" w:rsidRPr="00D3268F" w:rsidRDefault="00746871" w:rsidP="007468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33D68C" w14:textId="77777777" w:rsidR="00746871" w:rsidRPr="00D3268F" w:rsidRDefault="00746871" w:rsidP="00746871">
      <w:pPr>
        <w:ind w:left="1410" w:hanging="1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color w:val="000000"/>
          <w:sz w:val="22"/>
          <w:szCs w:val="22"/>
        </w:rPr>
        <w:t>Dr. Czeglédy Csaba, a Szociális és Lakás Bizottság elnöke</w:t>
      </w:r>
    </w:p>
    <w:p w14:paraId="06200877" w14:textId="77777777" w:rsidR="00746871" w:rsidRDefault="00746871" w:rsidP="00746871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BA649F" w14:textId="2CD1C284" w:rsidR="00746871" w:rsidRPr="00D3268F" w:rsidRDefault="00746871" w:rsidP="00746871">
      <w:pPr>
        <w:jc w:val="both"/>
        <w:rPr>
          <w:rFonts w:asciiTheme="minorHAnsi" w:hAnsiTheme="minorHAnsi" w:cstheme="minorHAnsi"/>
          <w:sz w:val="22"/>
          <w:szCs w:val="22"/>
        </w:rPr>
      </w:pPr>
      <w:r w:rsidRPr="00D3268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268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268F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D3268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december 11.</w:t>
      </w:r>
    </w:p>
    <w:p w14:paraId="557B868C" w14:textId="77777777" w:rsid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456A1297" w14:textId="77777777" w:rsidR="00746871" w:rsidRDefault="00746871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7AC9DA89" w14:textId="77777777" w:rsidR="00746871" w:rsidRPr="00845692" w:rsidRDefault="00746871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746871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C6F77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4DF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46871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2025-12-11T07:47:00Z</dcterms:created>
  <dcterms:modified xsi:type="dcterms:W3CDTF">2025-12-12T07:26:00Z</dcterms:modified>
</cp:coreProperties>
</file>