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5C9F" w14:textId="77777777" w:rsidR="00260920" w:rsidRPr="007D0E2F" w:rsidRDefault="00260920" w:rsidP="0026092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601934A6" w14:textId="77777777" w:rsidR="00260920" w:rsidRPr="007D0E2F" w:rsidRDefault="00260920" w:rsidP="00260920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348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4205ABEE" w14:textId="77777777" w:rsidR="00260920" w:rsidRPr="007D0E2F" w:rsidRDefault="00260920" w:rsidP="00260920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EA1AB51" w14:textId="77777777" w:rsidR="00260920" w:rsidRPr="007D0E2F" w:rsidRDefault="00260920" w:rsidP="00260920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</w:t>
      </w:r>
      <w:proofErr w:type="spellStart"/>
      <w:r w:rsidRPr="007D0E2F">
        <w:rPr>
          <w:rFonts w:ascii="Calibri" w:hAnsi="Calibri" w:cs="Calibri"/>
          <w:i/>
          <w:iCs/>
          <w:szCs w:val="22"/>
        </w:rPr>
        <w:t>Innovative</w:t>
      </w:r>
      <w:proofErr w:type="spellEnd"/>
      <w:r w:rsidRPr="007D0E2F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7D0E2F">
        <w:rPr>
          <w:rFonts w:ascii="Calibri" w:hAnsi="Calibri" w:cs="Calibri"/>
          <w:i/>
          <w:iCs/>
          <w:szCs w:val="22"/>
        </w:rPr>
        <w:t>Use</w:t>
      </w:r>
      <w:proofErr w:type="spellEnd"/>
      <w:r w:rsidRPr="007D0E2F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7D0E2F">
        <w:rPr>
          <w:rFonts w:ascii="Calibri" w:hAnsi="Calibri" w:cs="Calibri"/>
          <w:i/>
          <w:iCs/>
          <w:szCs w:val="22"/>
        </w:rPr>
        <w:t>Cases</w:t>
      </w:r>
      <w:proofErr w:type="spellEnd"/>
      <w:r w:rsidRPr="007D0E2F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7D0E2F">
        <w:rPr>
          <w:rFonts w:ascii="Calibri" w:hAnsi="Calibri" w:cs="Calibri"/>
          <w:i/>
          <w:iCs/>
          <w:szCs w:val="22"/>
        </w:rPr>
        <w:t>for</w:t>
      </w:r>
      <w:proofErr w:type="spellEnd"/>
      <w:r w:rsidRPr="007D0E2F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7D0E2F">
        <w:rPr>
          <w:rFonts w:ascii="Calibri" w:hAnsi="Calibri" w:cs="Calibri"/>
          <w:i/>
          <w:iCs/>
          <w:szCs w:val="22"/>
        </w:rPr>
        <w:t>the</w:t>
      </w:r>
      <w:proofErr w:type="spellEnd"/>
      <w:r w:rsidRPr="007D0E2F">
        <w:rPr>
          <w:rFonts w:ascii="Calibri" w:hAnsi="Calibri" w:cs="Calibri"/>
          <w:i/>
          <w:iCs/>
          <w:szCs w:val="22"/>
        </w:rPr>
        <w:t xml:space="preserve"> ECCCH (Innovatív használati módok az ECCCH*-ban)</w:t>
      </w:r>
      <w:r w:rsidRPr="007D0E2F">
        <w:rPr>
          <w:rFonts w:ascii="Calibri" w:hAnsi="Calibri" w:cs="Calibri"/>
          <w:szCs w:val="22"/>
        </w:rPr>
        <w:t>, HORIZON-CL2-2025-01-HERITAGE-03</w:t>
      </w:r>
      <w:r w:rsidRPr="007D0E2F">
        <w:rPr>
          <w:rFonts w:ascii="Calibri" w:hAnsi="Calibri" w:cs="Calibri"/>
          <w:i/>
          <w:iCs/>
          <w:szCs w:val="22"/>
        </w:rPr>
        <w:t>*ECCCH: Európai együttműködési felhő a kulturális örökségért</w:t>
      </w:r>
      <w:r w:rsidRPr="007D0E2F">
        <w:rPr>
          <w:rFonts w:ascii="Calibri" w:hAnsi="Calibri" w:cs="Calibri"/>
          <w:szCs w:val="22"/>
        </w:rPr>
        <w:t>” című program megvalósítását célzó projekt önrészt nem igénylő pályázatán.</w:t>
      </w:r>
    </w:p>
    <w:p w14:paraId="4B3624CE" w14:textId="77777777" w:rsidR="00260920" w:rsidRPr="007D0E2F" w:rsidRDefault="00260920" w:rsidP="00260920">
      <w:pPr>
        <w:ind w:left="720"/>
        <w:contextualSpacing/>
        <w:rPr>
          <w:rFonts w:ascii="Calibri" w:hAnsi="Calibri" w:cs="Calibri"/>
          <w:szCs w:val="22"/>
        </w:rPr>
      </w:pPr>
    </w:p>
    <w:p w14:paraId="772EDFB4" w14:textId="77777777" w:rsidR="00260920" w:rsidRPr="007D0E2F" w:rsidRDefault="00260920" w:rsidP="00260920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C48F9AB" w14:textId="77777777" w:rsidR="00260920" w:rsidRPr="007D0E2F" w:rsidRDefault="00260920" w:rsidP="00260920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769F09EE" w14:textId="77777777" w:rsidR="00260920" w:rsidRPr="007D0E2F" w:rsidRDefault="00260920" w:rsidP="00260920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4E4CF67B" w14:textId="77777777" w:rsidR="00260920" w:rsidRPr="007D0E2F" w:rsidRDefault="00260920" w:rsidP="0026092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998B2CF" w14:textId="77777777" w:rsidR="00260920" w:rsidRPr="007D0E2F" w:rsidRDefault="00260920" w:rsidP="0026092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2109F24" w14:textId="77777777" w:rsidR="00260920" w:rsidRPr="007D0E2F" w:rsidRDefault="00260920" w:rsidP="00260920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2B6104F" w14:textId="77777777" w:rsidR="00260920" w:rsidRPr="007D0E2F" w:rsidRDefault="00260920" w:rsidP="0026092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1D9C4D4A" w14:textId="77777777" w:rsidR="00260920" w:rsidRDefault="00260920" w:rsidP="00260920">
      <w:pPr>
        <w:jc w:val="both"/>
        <w:rPr>
          <w:rFonts w:asciiTheme="minorHAnsi" w:hAnsiTheme="minorHAnsi" w:cstheme="minorHAnsi"/>
          <w:bCs/>
          <w:szCs w:val="22"/>
        </w:rPr>
      </w:pPr>
    </w:p>
    <w:p w14:paraId="104DD84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20"/>
    <w:rsid w:val="00260920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C13"/>
  <w15:chartTrackingRefBased/>
  <w15:docId w15:val="{06A2F520-2392-4AA0-B4DA-EEF7FA8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92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6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0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0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0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09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09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09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09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0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09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09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09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09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09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09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0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6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09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6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092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609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092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609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09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0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30C67-C666-4AAC-9190-BCABB5E3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11BDC-592E-4C15-9470-C2EDCC551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7B36D-71F8-43B2-B08C-1085F1F153C7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