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6D2A" w14:textId="452F11C5" w:rsidR="00860F90" w:rsidRPr="00F14DC1" w:rsidRDefault="00232F3E" w:rsidP="00232F3E">
      <w:pPr>
        <w:pStyle w:val="Cmsor1"/>
        <w:jc w:val="center"/>
        <w:rPr>
          <w:rFonts w:ascii="Calibri" w:hAnsi="Calibri" w:cs="Calibri"/>
          <w:color w:val="auto"/>
          <w:szCs w:val="24"/>
        </w:rPr>
      </w:pPr>
      <w:r w:rsidRPr="00F14DC1">
        <w:rPr>
          <w:rFonts w:ascii="Calibri" w:hAnsi="Calibri" w:cs="Calibri"/>
          <w:color w:val="auto"/>
          <w:szCs w:val="24"/>
        </w:rPr>
        <w:t>INDOKOLÁS</w:t>
      </w:r>
    </w:p>
    <w:p w14:paraId="4107CF7B" w14:textId="039CC400" w:rsidR="00500B0C" w:rsidRPr="00F14DC1" w:rsidRDefault="00500B0C" w:rsidP="00500B0C">
      <w:pPr>
        <w:jc w:val="center"/>
        <w:rPr>
          <w:rFonts w:ascii="Calibri" w:hAnsi="Calibri" w:cs="Calibri"/>
          <w:b/>
          <w:sz w:val="24"/>
          <w:szCs w:val="24"/>
        </w:rPr>
      </w:pPr>
      <w:r w:rsidRPr="00F14DC1">
        <w:rPr>
          <w:rFonts w:ascii="Calibri" w:hAnsi="Calibri" w:cs="Calibri"/>
          <w:b/>
          <w:sz w:val="24"/>
          <w:szCs w:val="24"/>
        </w:rPr>
        <w:t>a 202</w:t>
      </w:r>
      <w:r w:rsidR="008A7542">
        <w:rPr>
          <w:rFonts w:ascii="Calibri" w:hAnsi="Calibri" w:cs="Calibri"/>
          <w:b/>
          <w:sz w:val="24"/>
          <w:szCs w:val="24"/>
        </w:rPr>
        <w:t>5</w:t>
      </w:r>
      <w:r w:rsidRPr="00F14DC1">
        <w:rPr>
          <w:rFonts w:ascii="Calibri" w:hAnsi="Calibri" w:cs="Calibri"/>
          <w:b/>
          <w:sz w:val="24"/>
          <w:szCs w:val="24"/>
        </w:rPr>
        <w:t xml:space="preserve">. évi költségvetési rendelet </w:t>
      </w:r>
      <w:r w:rsidR="008A7542">
        <w:rPr>
          <w:rFonts w:ascii="Calibri" w:hAnsi="Calibri" w:cs="Calibri"/>
          <w:b/>
          <w:sz w:val="24"/>
          <w:szCs w:val="24"/>
        </w:rPr>
        <w:t>I</w:t>
      </w:r>
      <w:r w:rsidR="00B124A2">
        <w:rPr>
          <w:rFonts w:ascii="Calibri" w:hAnsi="Calibri" w:cs="Calibri"/>
          <w:b/>
          <w:sz w:val="24"/>
          <w:szCs w:val="24"/>
        </w:rPr>
        <w:t>I</w:t>
      </w:r>
      <w:r w:rsidRPr="00F14DC1">
        <w:rPr>
          <w:rFonts w:ascii="Calibri" w:hAnsi="Calibri" w:cs="Calibri"/>
          <w:b/>
          <w:sz w:val="24"/>
          <w:szCs w:val="24"/>
        </w:rPr>
        <w:t>I. számú módosításhoz</w:t>
      </w:r>
    </w:p>
    <w:p w14:paraId="5DBB1A01" w14:textId="77777777" w:rsidR="00500B0C" w:rsidRPr="00F14DC1" w:rsidRDefault="00500B0C" w:rsidP="00500B0C">
      <w:pPr>
        <w:rPr>
          <w:rFonts w:ascii="Calibri" w:hAnsi="Calibri" w:cs="Calibri"/>
          <w:sz w:val="22"/>
          <w:szCs w:val="22"/>
        </w:rPr>
      </w:pPr>
    </w:p>
    <w:p w14:paraId="1ADD994E" w14:textId="163BBA6A" w:rsidR="00500B0C" w:rsidRPr="008D201F" w:rsidRDefault="00500B0C" w:rsidP="00500B0C">
      <w:pPr>
        <w:tabs>
          <w:tab w:val="num" w:pos="2760"/>
        </w:tabs>
        <w:jc w:val="both"/>
        <w:rPr>
          <w:rFonts w:ascii="Calibri" w:hAnsi="Calibri" w:cs="Calibri"/>
          <w:b/>
          <w:bCs/>
          <w:sz w:val="22"/>
          <w:szCs w:val="22"/>
        </w:rPr>
      </w:pPr>
      <w:r w:rsidRPr="008D201F">
        <w:rPr>
          <w:rFonts w:ascii="Calibri" w:hAnsi="Calibri" w:cs="Calibri"/>
          <w:b/>
          <w:bCs/>
          <w:sz w:val="22"/>
          <w:szCs w:val="22"/>
        </w:rPr>
        <w:t>I. A költségvetési rendeletben meghatározottak szerint utólagos tudomásul vételt jelentő tételek</w:t>
      </w:r>
    </w:p>
    <w:p w14:paraId="424EF271" w14:textId="77777777" w:rsidR="00500B0C" w:rsidRPr="00F14DC1" w:rsidRDefault="00500B0C" w:rsidP="00500B0C">
      <w:pPr>
        <w:tabs>
          <w:tab w:val="num" w:pos="2760"/>
        </w:tabs>
        <w:jc w:val="both"/>
        <w:rPr>
          <w:rFonts w:ascii="Calibri" w:hAnsi="Calibri" w:cs="Calibri"/>
          <w:b/>
          <w:bCs/>
          <w:sz w:val="22"/>
          <w:szCs w:val="22"/>
        </w:rPr>
      </w:pPr>
    </w:p>
    <w:p w14:paraId="69B7C03A" w14:textId="77777777" w:rsidR="00500B0C" w:rsidRDefault="00500B0C" w:rsidP="00AE7DB8">
      <w:pPr>
        <w:numPr>
          <w:ilvl w:val="0"/>
          <w:numId w:val="5"/>
        </w:numPr>
        <w:jc w:val="both"/>
        <w:rPr>
          <w:rFonts w:ascii="Calibri" w:hAnsi="Calibri" w:cs="Calibri"/>
          <w:b/>
          <w:i/>
          <w:sz w:val="22"/>
          <w:szCs w:val="22"/>
        </w:rPr>
      </w:pPr>
      <w:r w:rsidRPr="00F14DC1">
        <w:rPr>
          <w:rFonts w:ascii="Calibri" w:hAnsi="Calibri" w:cs="Calibri"/>
          <w:b/>
          <w:i/>
          <w:sz w:val="22"/>
          <w:szCs w:val="22"/>
        </w:rPr>
        <w:t>Működési és felhalmozási célú támogatások előirányzatainak módosítása</w:t>
      </w:r>
    </w:p>
    <w:p w14:paraId="53D8919B" w14:textId="77777777" w:rsidR="00B26409" w:rsidRDefault="00B26409" w:rsidP="00B26409">
      <w:pPr>
        <w:ind w:left="720"/>
        <w:jc w:val="both"/>
        <w:rPr>
          <w:rFonts w:ascii="Calibri" w:hAnsi="Calibri" w:cs="Calibri"/>
          <w:b/>
          <w:i/>
          <w:sz w:val="22"/>
          <w:szCs w:val="22"/>
        </w:rPr>
      </w:pPr>
    </w:p>
    <w:p w14:paraId="229CD686" w14:textId="7A6130BE" w:rsidR="00500B0C" w:rsidRPr="00B27FEE" w:rsidRDefault="00500B0C" w:rsidP="00B27FEE">
      <w:pPr>
        <w:numPr>
          <w:ilvl w:val="0"/>
          <w:numId w:val="2"/>
        </w:numPr>
        <w:jc w:val="both"/>
        <w:rPr>
          <w:rFonts w:ascii="Calibri" w:hAnsi="Calibri" w:cs="Calibri"/>
          <w:sz w:val="22"/>
          <w:szCs w:val="22"/>
        </w:rPr>
      </w:pPr>
      <w:r w:rsidRPr="001933AF">
        <w:rPr>
          <w:rFonts w:ascii="Calibri" w:hAnsi="Calibri" w:cs="Calibri"/>
          <w:sz w:val="22"/>
          <w:szCs w:val="22"/>
        </w:rPr>
        <w:t xml:space="preserve">A 257/2000. (XII. 26.) Korm. rend. alapján a szociális, gyermekjóléti és gyermekvédelmi ágazati pótlékra jogosult </w:t>
      </w:r>
      <w:r w:rsidRPr="00CB5ACE">
        <w:rPr>
          <w:rFonts w:ascii="Calibri" w:hAnsi="Calibri" w:cs="Calibri"/>
          <w:sz w:val="22"/>
          <w:szCs w:val="22"/>
        </w:rPr>
        <w:t>közalkalmazottakat szociális ágazati összevont pótlék illeti meg. Központi bevételként beemelésre került</w:t>
      </w:r>
      <w:r w:rsidR="00FC4CAB" w:rsidRPr="00CB5ACE">
        <w:rPr>
          <w:rFonts w:ascii="Calibri" w:hAnsi="Calibri" w:cs="Calibri"/>
          <w:sz w:val="22"/>
          <w:szCs w:val="22"/>
        </w:rPr>
        <w:t xml:space="preserve"> </w:t>
      </w:r>
      <w:r w:rsidR="002C1F58">
        <w:rPr>
          <w:rFonts w:ascii="Calibri" w:hAnsi="Calibri" w:cs="Calibri"/>
          <w:sz w:val="22"/>
          <w:szCs w:val="22"/>
        </w:rPr>
        <w:t>84.348</w:t>
      </w:r>
      <w:r w:rsidRPr="00CB5ACE">
        <w:rPr>
          <w:rFonts w:ascii="Calibri" w:hAnsi="Calibri" w:cs="Calibri"/>
          <w:sz w:val="22"/>
          <w:szCs w:val="22"/>
        </w:rPr>
        <w:t xml:space="preserve"> eFt összegű támogatás, mellyel egyidejűleg a pótlékra jogosultakat foglalkoztató intézmények (Pálos K. Szociális Szolgáltató</w:t>
      </w:r>
      <w:r w:rsidR="00B27FEE" w:rsidRPr="00CB5ACE">
        <w:rPr>
          <w:rFonts w:ascii="Calibri" w:hAnsi="Calibri" w:cs="Calibri"/>
          <w:sz w:val="22"/>
          <w:szCs w:val="22"/>
        </w:rPr>
        <w:t xml:space="preserve"> Központ és Gyermekjóléti Szolgálat </w:t>
      </w:r>
      <w:r w:rsidR="002C1F58">
        <w:rPr>
          <w:rFonts w:ascii="Calibri" w:hAnsi="Calibri" w:cs="Calibri"/>
          <w:sz w:val="22"/>
          <w:szCs w:val="22"/>
        </w:rPr>
        <w:t>72.629</w:t>
      </w:r>
      <w:r w:rsidR="00B27FEE" w:rsidRPr="00CB5ACE">
        <w:rPr>
          <w:rFonts w:ascii="Calibri" w:hAnsi="Calibri" w:cs="Calibri"/>
          <w:sz w:val="22"/>
          <w:szCs w:val="22"/>
        </w:rPr>
        <w:t xml:space="preserve"> eFt</w:t>
      </w:r>
      <w:r w:rsidRPr="00CB5ACE">
        <w:rPr>
          <w:rFonts w:ascii="Calibri" w:hAnsi="Calibri" w:cs="Calibri"/>
          <w:sz w:val="22"/>
          <w:szCs w:val="22"/>
        </w:rPr>
        <w:t>, valamint az Egyesített Bölcsődei Intézmény</w:t>
      </w:r>
      <w:r w:rsidR="00B27FEE" w:rsidRPr="00CB5ACE">
        <w:rPr>
          <w:rFonts w:ascii="Calibri" w:hAnsi="Calibri" w:cs="Calibri"/>
          <w:sz w:val="22"/>
          <w:szCs w:val="22"/>
        </w:rPr>
        <w:t xml:space="preserve"> </w:t>
      </w:r>
      <w:r w:rsidR="002C1F58">
        <w:rPr>
          <w:rFonts w:ascii="Calibri" w:hAnsi="Calibri" w:cs="Calibri"/>
          <w:sz w:val="22"/>
          <w:szCs w:val="22"/>
        </w:rPr>
        <w:t>11.719</w:t>
      </w:r>
      <w:r w:rsidR="00B27FEE" w:rsidRPr="00CB5ACE">
        <w:rPr>
          <w:rFonts w:ascii="Calibri" w:hAnsi="Calibri" w:cs="Calibri"/>
          <w:sz w:val="22"/>
          <w:szCs w:val="22"/>
        </w:rPr>
        <w:t xml:space="preserve"> eFt</w:t>
      </w:r>
      <w:r w:rsidRPr="00CB5ACE">
        <w:rPr>
          <w:rFonts w:ascii="Calibri" w:hAnsi="Calibri" w:cs="Calibri"/>
          <w:sz w:val="22"/>
          <w:szCs w:val="22"/>
        </w:rPr>
        <w:t>) költségvetési kiadási előirányzatai kerültek megemelésre</w:t>
      </w:r>
      <w:r w:rsidRPr="00B27FEE">
        <w:rPr>
          <w:rFonts w:ascii="Calibri" w:hAnsi="Calibri" w:cs="Calibri"/>
          <w:sz w:val="22"/>
          <w:szCs w:val="22"/>
        </w:rPr>
        <w:t xml:space="preserve">. </w:t>
      </w:r>
    </w:p>
    <w:p w14:paraId="75DE876D" w14:textId="77777777" w:rsidR="003622DB" w:rsidRPr="00F14DC1" w:rsidRDefault="003622DB" w:rsidP="003622DB">
      <w:pPr>
        <w:ind w:left="720"/>
        <w:jc w:val="both"/>
        <w:rPr>
          <w:rFonts w:ascii="Calibri" w:hAnsi="Calibri" w:cs="Calibri"/>
          <w:color w:val="FF0000"/>
          <w:sz w:val="22"/>
          <w:szCs w:val="22"/>
        </w:rPr>
      </w:pPr>
    </w:p>
    <w:p w14:paraId="74FE5C00" w14:textId="2458B132" w:rsidR="00306622" w:rsidRPr="001D6287" w:rsidRDefault="00306622" w:rsidP="00306622">
      <w:pPr>
        <w:numPr>
          <w:ilvl w:val="0"/>
          <w:numId w:val="2"/>
        </w:numPr>
        <w:ind w:left="708"/>
        <w:jc w:val="both"/>
        <w:rPr>
          <w:rFonts w:ascii="Calibri" w:hAnsi="Calibri" w:cs="Calibri"/>
          <w:sz w:val="22"/>
          <w:szCs w:val="22"/>
        </w:rPr>
      </w:pPr>
      <w:r w:rsidRPr="00306622">
        <w:rPr>
          <w:rFonts w:ascii="Calibri" w:hAnsi="Calibri" w:cs="Calibri"/>
          <w:sz w:val="22"/>
          <w:szCs w:val="22"/>
        </w:rPr>
        <w:t>A veszélyhelyzet ideje alatt a szomszédos országban fennálló humanitárius katasztrófára tekintettel érkező személyek elhelyezésének támogatásáról és az azzal kapcsolatos egyéb intézkedésekről szóló 104/2022. (II.12.) Korm.rend.</w:t>
      </w:r>
      <w:r w:rsidR="00B15FA8">
        <w:rPr>
          <w:rFonts w:ascii="Calibri" w:hAnsi="Calibri" w:cs="Calibri"/>
          <w:sz w:val="22"/>
          <w:szCs w:val="22"/>
        </w:rPr>
        <w:t xml:space="preserve"> </w:t>
      </w:r>
      <w:r w:rsidRPr="00306622">
        <w:rPr>
          <w:rFonts w:ascii="Calibri" w:hAnsi="Calibri" w:cs="Calibri"/>
          <w:sz w:val="22"/>
          <w:szCs w:val="22"/>
        </w:rPr>
        <w:t>alapján Önkormányzatunk a rendeletben meghatározott támogatás igénylés feltételeinek megfelelően az igény bejelentést megküldi. Az önkormányzat az ideiglenes védelemre jogosult vagy a menedékes szállása és ellátása után naponta elszállásolta</w:t>
      </w:r>
      <w:r w:rsidR="000638B7">
        <w:rPr>
          <w:rFonts w:ascii="Calibri" w:hAnsi="Calibri" w:cs="Calibri"/>
          <w:sz w:val="22"/>
          <w:szCs w:val="22"/>
        </w:rPr>
        <w:t>nként és ellátottanként</w:t>
      </w:r>
      <w:r w:rsidRPr="00306622">
        <w:rPr>
          <w:rFonts w:ascii="Calibri" w:hAnsi="Calibri" w:cs="Calibri"/>
          <w:sz w:val="22"/>
          <w:szCs w:val="22"/>
        </w:rPr>
        <w:t xml:space="preserve"> 2022. november 1. napját követőe</w:t>
      </w:r>
      <w:r w:rsidR="000638B7">
        <w:rPr>
          <w:rFonts w:ascii="Calibri" w:hAnsi="Calibri" w:cs="Calibri"/>
          <w:sz w:val="22"/>
          <w:szCs w:val="22"/>
        </w:rPr>
        <w:t xml:space="preserve">n </w:t>
      </w:r>
      <w:r w:rsidRPr="00306622">
        <w:rPr>
          <w:rFonts w:ascii="Calibri" w:hAnsi="Calibri" w:cs="Calibri"/>
          <w:sz w:val="22"/>
          <w:szCs w:val="22"/>
        </w:rPr>
        <w:t>7.000 Ft fajlagos tám</w:t>
      </w:r>
      <w:r>
        <w:rPr>
          <w:rFonts w:ascii="Calibri" w:hAnsi="Calibri" w:cs="Calibri"/>
          <w:sz w:val="22"/>
          <w:szCs w:val="22"/>
        </w:rPr>
        <w:t>ogatásra jogosult. Ez</w:t>
      </w:r>
      <w:r w:rsidR="00FC4CAB">
        <w:rPr>
          <w:rFonts w:ascii="Calibri" w:hAnsi="Calibri" w:cs="Calibri"/>
          <w:sz w:val="22"/>
          <w:szCs w:val="22"/>
        </w:rPr>
        <w:t xml:space="preserve"> </w:t>
      </w:r>
      <w:r>
        <w:rPr>
          <w:rFonts w:ascii="Calibri" w:hAnsi="Calibri" w:cs="Calibri"/>
          <w:sz w:val="22"/>
          <w:szCs w:val="22"/>
        </w:rPr>
        <w:t>idáig</w:t>
      </w:r>
      <w:r w:rsidRPr="00306622">
        <w:rPr>
          <w:rFonts w:ascii="Calibri" w:hAnsi="Calibri" w:cs="Calibri"/>
          <w:sz w:val="22"/>
          <w:szCs w:val="22"/>
        </w:rPr>
        <w:t xml:space="preserve"> </w:t>
      </w:r>
      <w:r w:rsidR="007859AC">
        <w:rPr>
          <w:rFonts w:ascii="Calibri" w:hAnsi="Calibri" w:cs="Calibri"/>
          <w:sz w:val="22"/>
          <w:szCs w:val="22"/>
        </w:rPr>
        <w:t>2.440</w:t>
      </w:r>
      <w:r w:rsidR="000E73FF">
        <w:rPr>
          <w:rFonts w:ascii="Calibri" w:hAnsi="Calibri" w:cs="Calibri"/>
          <w:sz w:val="22"/>
          <w:szCs w:val="22"/>
        </w:rPr>
        <w:t xml:space="preserve"> </w:t>
      </w:r>
      <w:r w:rsidRPr="00306622">
        <w:rPr>
          <w:rFonts w:ascii="Calibri" w:hAnsi="Calibri" w:cs="Calibri"/>
          <w:sz w:val="22"/>
          <w:szCs w:val="22"/>
        </w:rPr>
        <w:t>eFt</w:t>
      </w:r>
      <w:r>
        <w:rPr>
          <w:rFonts w:ascii="Calibri" w:hAnsi="Calibri" w:cs="Calibri"/>
          <w:sz w:val="22"/>
          <w:szCs w:val="22"/>
        </w:rPr>
        <w:t xml:space="preserve"> összegű támogatásban</w:t>
      </w:r>
      <w:r w:rsidRPr="00306622">
        <w:rPr>
          <w:rFonts w:ascii="Calibri" w:hAnsi="Calibri" w:cs="Calibri"/>
          <w:sz w:val="22"/>
          <w:szCs w:val="22"/>
        </w:rPr>
        <w:t xml:space="preserve"> részesültünk. Ez alapján mind a bevételi mind pedig a kiadási előirányzat (szociális ágazat kiadásai) beemelése megtörtént a költségvetési rendeletbe. Ezen összegből az elhelyezést és ellátást biztosító intézmények, szervezetek kerülnek támogatásra. Ebből az összegből a Pálos Károly Szociális </w:t>
      </w:r>
      <w:r w:rsidRPr="001D6287">
        <w:rPr>
          <w:rFonts w:ascii="Calibri" w:hAnsi="Calibri" w:cs="Calibri"/>
          <w:sz w:val="22"/>
          <w:szCs w:val="22"/>
        </w:rPr>
        <w:t xml:space="preserve">Szolgáltató Központ és Gyermekjóléti Szolgálat intézmény részére </w:t>
      </w:r>
      <w:r w:rsidR="007859AC">
        <w:rPr>
          <w:rFonts w:ascii="Calibri" w:hAnsi="Calibri" w:cs="Calibri"/>
          <w:sz w:val="22"/>
          <w:szCs w:val="22"/>
        </w:rPr>
        <w:t>482</w:t>
      </w:r>
      <w:r w:rsidRPr="001D6287">
        <w:rPr>
          <w:rFonts w:ascii="Calibri" w:hAnsi="Calibri" w:cs="Calibri"/>
          <w:sz w:val="22"/>
          <w:szCs w:val="22"/>
        </w:rPr>
        <w:t xml:space="preserve"> eFt összeg került támogatásként biztosításra.</w:t>
      </w:r>
    </w:p>
    <w:p w14:paraId="2FC6B237" w14:textId="77777777" w:rsidR="00494ED2" w:rsidRPr="00494ED2" w:rsidRDefault="00494ED2" w:rsidP="00E57D08">
      <w:pPr>
        <w:pStyle w:val="Listaszerbekezds"/>
        <w:jc w:val="both"/>
        <w:rPr>
          <w:rFonts w:ascii="Calibri" w:hAnsi="Calibri" w:cs="Calibri"/>
          <w:sz w:val="22"/>
          <w:szCs w:val="22"/>
        </w:rPr>
      </w:pPr>
    </w:p>
    <w:p w14:paraId="06440D98" w14:textId="1997BCC6" w:rsidR="00494ED2" w:rsidRDefault="00494ED2" w:rsidP="00E57D08">
      <w:pPr>
        <w:pStyle w:val="Listaszerbekezds"/>
        <w:numPr>
          <w:ilvl w:val="0"/>
          <w:numId w:val="2"/>
        </w:numPr>
        <w:jc w:val="both"/>
        <w:rPr>
          <w:rFonts w:ascii="Calibri" w:hAnsi="Calibri" w:cs="Calibri"/>
          <w:sz w:val="22"/>
          <w:szCs w:val="22"/>
        </w:rPr>
      </w:pPr>
      <w:r w:rsidRPr="00494ED2">
        <w:rPr>
          <w:rFonts w:ascii="Calibri" w:hAnsi="Calibri" w:cs="Calibri"/>
          <w:sz w:val="22"/>
          <w:szCs w:val="22"/>
        </w:rPr>
        <w:t xml:space="preserve">A kéményseprő ipari közszolgáltatás ellátásának támogatása címén önkormányzatunk </w:t>
      </w:r>
      <w:r w:rsidR="00E57D08">
        <w:rPr>
          <w:rFonts w:ascii="Calibri" w:hAnsi="Calibri" w:cs="Calibri"/>
          <w:sz w:val="22"/>
          <w:szCs w:val="22"/>
        </w:rPr>
        <w:t>3.137</w:t>
      </w:r>
      <w:r w:rsidRPr="00494ED2">
        <w:rPr>
          <w:rFonts w:ascii="Calibri" w:hAnsi="Calibri" w:cs="Calibri"/>
          <w:sz w:val="22"/>
          <w:szCs w:val="22"/>
        </w:rPr>
        <w:t xml:space="preserve"> eFt összegben részesült. Ezen tétel a „Kéményseprő ipari közszolgáltatás (központi támogatásból)” támogatásaként szerepel az egyéb kiadási előirányzatok között.</w:t>
      </w:r>
    </w:p>
    <w:p w14:paraId="17A8C322" w14:textId="77777777" w:rsidR="00E57D08" w:rsidRPr="00E57D08" w:rsidRDefault="00E57D08" w:rsidP="00E57D08">
      <w:pPr>
        <w:pStyle w:val="Listaszerbekezds"/>
        <w:rPr>
          <w:rFonts w:ascii="Calibri" w:hAnsi="Calibri" w:cs="Calibri"/>
          <w:sz w:val="22"/>
          <w:szCs w:val="22"/>
        </w:rPr>
      </w:pPr>
    </w:p>
    <w:p w14:paraId="230F7882" w14:textId="77777777" w:rsidR="00E57D08" w:rsidRDefault="00E57D08" w:rsidP="00E57D08">
      <w:pPr>
        <w:pStyle w:val="Listaszerbekezds"/>
        <w:numPr>
          <w:ilvl w:val="0"/>
          <w:numId w:val="2"/>
        </w:numPr>
        <w:jc w:val="both"/>
        <w:rPr>
          <w:rFonts w:ascii="Calibri" w:hAnsi="Calibri" w:cs="Calibri"/>
          <w:sz w:val="22"/>
          <w:szCs w:val="22"/>
        </w:rPr>
      </w:pPr>
      <w:r w:rsidRPr="00E57D08">
        <w:rPr>
          <w:rFonts w:ascii="Calibri" w:hAnsi="Calibri" w:cs="Calibri"/>
          <w:sz w:val="22"/>
          <w:szCs w:val="22"/>
        </w:rPr>
        <w:t>A feladatalapú támogatások 202</w:t>
      </w:r>
      <w:r>
        <w:rPr>
          <w:rFonts w:ascii="Calibri" w:hAnsi="Calibri" w:cs="Calibri"/>
          <w:sz w:val="22"/>
          <w:szCs w:val="22"/>
        </w:rPr>
        <w:t>5</w:t>
      </w:r>
      <w:r w:rsidRPr="00E57D08">
        <w:rPr>
          <w:rFonts w:ascii="Calibri" w:hAnsi="Calibri" w:cs="Calibri"/>
          <w:sz w:val="22"/>
          <w:szCs w:val="22"/>
        </w:rPr>
        <w:t xml:space="preserve">. május havi elszámolása alapján </w:t>
      </w:r>
      <w:r>
        <w:rPr>
          <w:rFonts w:ascii="Calibri" w:hAnsi="Calibri" w:cs="Calibri"/>
          <w:sz w:val="22"/>
          <w:szCs w:val="22"/>
        </w:rPr>
        <w:t>mindösszesen 62.876</w:t>
      </w:r>
      <w:r w:rsidRPr="00E57D08">
        <w:rPr>
          <w:rFonts w:ascii="Calibri" w:hAnsi="Calibri" w:cs="Calibri"/>
          <w:sz w:val="22"/>
          <w:szCs w:val="22"/>
        </w:rPr>
        <w:t xml:space="preserve"> eFt </w:t>
      </w:r>
      <w:r>
        <w:rPr>
          <w:rFonts w:ascii="Calibri" w:hAnsi="Calibri" w:cs="Calibri"/>
          <w:sz w:val="22"/>
          <w:szCs w:val="22"/>
        </w:rPr>
        <w:t>összegű központi támogatás csökkenést eredményezett.</w:t>
      </w:r>
    </w:p>
    <w:p w14:paraId="238ECB93" w14:textId="77777777" w:rsidR="00E57D08" w:rsidRPr="00E57D08" w:rsidRDefault="00E57D08" w:rsidP="00E57D08">
      <w:pPr>
        <w:pStyle w:val="Listaszerbekezds"/>
        <w:rPr>
          <w:rFonts w:ascii="Calibri" w:hAnsi="Calibri" w:cs="Calibri"/>
          <w:sz w:val="22"/>
          <w:szCs w:val="22"/>
        </w:rPr>
      </w:pPr>
    </w:p>
    <w:p w14:paraId="66772BB6" w14:textId="65904EE8" w:rsidR="00E57D08" w:rsidRDefault="00E57D08" w:rsidP="002F4BB8">
      <w:pPr>
        <w:pStyle w:val="Listaszerbekezds"/>
        <w:numPr>
          <w:ilvl w:val="0"/>
          <w:numId w:val="17"/>
        </w:numPr>
        <w:ind w:left="1134" w:hanging="425"/>
        <w:rPr>
          <w:rFonts w:ascii="Calibri" w:hAnsi="Calibri" w:cs="Calibri"/>
          <w:sz w:val="22"/>
          <w:szCs w:val="22"/>
        </w:rPr>
      </w:pPr>
      <w:r w:rsidRPr="002F4BB8">
        <w:rPr>
          <w:rFonts w:ascii="Calibri" w:hAnsi="Calibri" w:cs="Calibri"/>
          <w:sz w:val="22"/>
          <w:szCs w:val="22"/>
        </w:rPr>
        <w:t>A Családok Átmeneti Otthoná</w:t>
      </w:r>
      <w:r w:rsidR="002F4BB8" w:rsidRPr="002F4BB8">
        <w:rPr>
          <w:rFonts w:ascii="Calibri" w:hAnsi="Calibri" w:cs="Calibri"/>
          <w:sz w:val="22"/>
          <w:szCs w:val="22"/>
        </w:rPr>
        <w:t>t igénybe vevő ellátottak száma a</w:t>
      </w:r>
      <w:r w:rsidRPr="002F4BB8">
        <w:rPr>
          <w:rFonts w:ascii="Calibri" w:hAnsi="Calibri" w:cs="Calibri"/>
          <w:sz w:val="22"/>
          <w:szCs w:val="22"/>
        </w:rPr>
        <w:t xml:space="preserve"> tervezetthez képest csökkent.</w:t>
      </w:r>
    </w:p>
    <w:p w14:paraId="6A42A9A4" w14:textId="350E15EA" w:rsidR="00E57D08" w:rsidRPr="007859AC" w:rsidRDefault="00AB3031" w:rsidP="007859AC">
      <w:pPr>
        <w:pStyle w:val="Listaszerbekezds"/>
        <w:numPr>
          <w:ilvl w:val="0"/>
          <w:numId w:val="17"/>
        </w:numPr>
        <w:ind w:left="1134" w:hanging="425"/>
        <w:jc w:val="both"/>
        <w:rPr>
          <w:rFonts w:ascii="Calibri" w:hAnsi="Calibri" w:cs="Calibri"/>
          <w:sz w:val="22"/>
          <w:szCs w:val="22"/>
        </w:rPr>
      </w:pPr>
      <w:r w:rsidRPr="007859AC">
        <w:rPr>
          <w:rFonts w:ascii="Calibri" w:hAnsi="Calibri" w:cs="Calibri"/>
          <w:sz w:val="22"/>
          <w:szCs w:val="22"/>
        </w:rPr>
        <w:t>Az igénylés alapját képező tárgyév január 31-én be</w:t>
      </w:r>
      <w:r w:rsidR="007859AC">
        <w:rPr>
          <w:rFonts w:ascii="Calibri" w:hAnsi="Calibri" w:cs="Calibri"/>
          <w:sz w:val="22"/>
          <w:szCs w:val="22"/>
        </w:rPr>
        <w:t>í</w:t>
      </w:r>
      <w:r w:rsidRPr="007859AC">
        <w:rPr>
          <w:rFonts w:ascii="Calibri" w:hAnsi="Calibri" w:cs="Calibri"/>
          <w:sz w:val="22"/>
          <w:szCs w:val="22"/>
        </w:rPr>
        <w:t xml:space="preserve">ratott gyermeklétszám a 2025.év  májusi mutatószám felmérés időpontjában vált tényadattá, az ebből számított elismert dolgozói létszám és a kapcsolódó </w:t>
      </w:r>
      <w:r w:rsidR="007859AC">
        <w:rPr>
          <w:rFonts w:ascii="Calibri" w:hAnsi="Calibri" w:cs="Calibri"/>
          <w:sz w:val="22"/>
          <w:szCs w:val="22"/>
        </w:rPr>
        <w:t xml:space="preserve">bölcsődei </w:t>
      </w:r>
      <w:r w:rsidRPr="007859AC">
        <w:rPr>
          <w:rFonts w:ascii="Calibri" w:hAnsi="Calibri" w:cs="Calibri"/>
          <w:sz w:val="22"/>
          <w:szCs w:val="22"/>
        </w:rPr>
        <w:t>bértámogatás összege ennek következményeként csökkent.</w:t>
      </w:r>
    </w:p>
    <w:p w14:paraId="504E73EF" w14:textId="77777777" w:rsidR="002F4BB8" w:rsidRPr="00E57D08" w:rsidRDefault="002F4BB8" w:rsidP="00E57D08">
      <w:pPr>
        <w:pStyle w:val="Listaszerbekezds"/>
        <w:rPr>
          <w:rFonts w:ascii="Calibri" w:hAnsi="Calibri" w:cs="Calibri"/>
          <w:sz w:val="22"/>
          <w:szCs w:val="22"/>
        </w:rPr>
      </w:pPr>
    </w:p>
    <w:p w14:paraId="47F266CC" w14:textId="4336E3F7" w:rsidR="00E57D08" w:rsidRPr="00F40A0F" w:rsidRDefault="00F40A0F" w:rsidP="00F40A0F">
      <w:pPr>
        <w:pStyle w:val="Listaszerbekezds"/>
        <w:numPr>
          <w:ilvl w:val="0"/>
          <w:numId w:val="19"/>
        </w:numPr>
        <w:jc w:val="both"/>
        <w:rPr>
          <w:rFonts w:ascii="Calibri" w:hAnsi="Calibri" w:cs="Calibri"/>
          <w:sz w:val="22"/>
          <w:szCs w:val="22"/>
        </w:rPr>
      </w:pPr>
      <w:r>
        <w:rPr>
          <w:rFonts w:ascii="Calibri" w:hAnsi="Calibri" w:cs="Calibri"/>
          <w:sz w:val="22"/>
          <w:szCs w:val="22"/>
        </w:rPr>
        <w:t xml:space="preserve">A pedagógusok teljesítményértékelés alapján történő illetményemelésének finanszírozásáról szóló 1231/2025. (VI.30.) Korm. határozat alapján a „települési önkormányzatok ágazati feladatainak támogatása” jogcímhez tartozó fajlagos összeg emelésével (90.000 Ft/fő) mindösszesen 18.720 eFt összegű központi támogatás növekedés történt. Ezen összeg a pedagógus teljesítményértékelés hatálya alá tartozó foglalkoztatottak illetményemelésére használható fel, ezért az Óvodák részére biztosításra került. </w:t>
      </w:r>
    </w:p>
    <w:p w14:paraId="395E6DF6" w14:textId="77777777" w:rsidR="00E57D08" w:rsidRPr="00E57D08" w:rsidRDefault="00E57D08" w:rsidP="00E57D08">
      <w:pPr>
        <w:pStyle w:val="Listaszerbekezds"/>
        <w:rPr>
          <w:rFonts w:ascii="Calibri" w:hAnsi="Calibri" w:cs="Calibri"/>
          <w:sz w:val="22"/>
          <w:szCs w:val="22"/>
        </w:rPr>
      </w:pPr>
    </w:p>
    <w:p w14:paraId="5B780C81" w14:textId="77777777" w:rsidR="00E57D08" w:rsidRDefault="00E57D08" w:rsidP="00E57D08">
      <w:pPr>
        <w:pStyle w:val="Listaszerbekezds"/>
        <w:ind w:left="720"/>
        <w:jc w:val="both"/>
        <w:rPr>
          <w:rFonts w:ascii="Calibri" w:hAnsi="Calibri" w:cs="Calibri"/>
          <w:sz w:val="22"/>
          <w:szCs w:val="22"/>
        </w:rPr>
      </w:pPr>
    </w:p>
    <w:p w14:paraId="19CEA714" w14:textId="77777777" w:rsidR="00494ED2" w:rsidRDefault="00494ED2" w:rsidP="00494ED2">
      <w:pPr>
        <w:jc w:val="both"/>
        <w:rPr>
          <w:rFonts w:ascii="Calibri" w:hAnsi="Calibri" w:cs="Calibri"/>
          <w:sz w:val="22"/>
          <w:szCs w:val="22"/>
        </w:rPr>
      </w:pPr>
    </w:p>
    <w:p w14:paraId="30FA9D86" w14:textId="77777777" w:rsidR="00494ED2" w:rsidRDefault="00494ED2" w:rsidP="00494ED2">
      <w:pPr>
        <w:jc w:val="both"/>
        <w:rPr>
          <w:rFonts w:ascii="Calibri" w:hAnsi="Calibri" w:cs="Calibri"/>
          <w:sz w:val="22"/>
          <w:szCs w:val="22"/>
        </w:rPr>
      </w:pPr>
    </w:p>
    <w:p w14:paraId="74982C80" w14:textId="4ACE7B82" w:rsidR="00F123DF" w:rsidRPr="00273B97" w:rsidRDefault="00494ED2" w:rsidP="008D226B">
      <w:pPr>
        <w:pStyle w:val="Listaszerbekezds"/>
        <w:numPr>
          <w:ilvl w:val="0"/>
          <w:numId w:val="2"/>
        </w:numPr>
        <w:jc w:val="both"/>
        <w:rPr>
          <w:rFonts w:ascii="Calibri" w:hAnsi="Calibri" w:cs="Calibri"/>
          <w:sz w:val="22"/>
          <w:szCs w:val="22"/>
        </w:rPr>
      </w:pPr>
      <w:r w:rsidRPr="00273B97">
        <w:rPr>
          <w:rFonts w:ascii="Calibri" w:hAnsi="Calibri" w:cs="Calibri"/>
          <w:sz w:val="22"/>
          <w:szCs w:val="22"/>
        </w:rPr>
        <w:lastRenderedPageBreak/>
        <w:t xml:space="preserve">A </w:t>
      </w:r>
      <w:r w:rsidR="00F123DF" w:rsidRPr="00273B97">
        <w:rPr>
          <w:rFonts w:ascii="Calibri" w:hAnsi="Calibri" w:cs="Calibri"/>
          <w:sz w:val="22"/>
          <w:szCs w:val="22"/>
        </w:rPr>
        <w:t xml:space="preserve">Weöres Sándor Színház Nkft. és a Mesebolt Bábszínház központi finanszírozásáról szóló közös működtetési megállapodások, támogatói okiratok, engedményezési megállapodások alapján indokolt rendezni a költségvetési előirányzatokat. </w:t>
      </w:r>
    </w:p>
    <w:p w14:paraId="379E4C37" w14:textId="395CF20D" w:rsidR="00F123DF" w:rsidRPr="00273B97" w:rsidRDefault="00F123DF" w:rsidP="00F123DF">
      <w:pPr>
        <w:pStyle w:val="Listaszerbekezds"/>
        <w:ind w:left="720"/>
        <w:jc w:val="both"/>
        <w:rPr>
          <w:rFonts w:ascii="Calibri" w:hAnsi="Calibri" w:cs="Calibri"/>
          <w:sz w:val="22"/>
          <w:szCs w:val="22"/>
        </w:rPr>
      </w:pPr>
      <w:r w:rsidRPr="00273B97">
        <w:rPr>
          <w:rFonts w:ascii="Calibri" w:hAnsi="Calibri" w:cs="Calibri"/>
          <w:sz w:val="22"/>
          <w:szCs w:val="22"/>
        </w:rPr>
        <w:t xml:space="preserve">2025. évre vonatkozóan a </w:t>
      </w:r>
      <w:r w:rsidR="00273B97" w:rsidRPr="00273B97">
        <w:rPr>
          <w:rFonts w:ascii="Calibri" w:hAnsi="Calibri" w:cs="Calibri"/>
          <w:sz w:val="22"/>
          <w:szCs w:val="22"/>
        </w:rPr>
        <w:t>WSSZ</w:t>
      </w:r>
      <w:r w:rsidRPr="00273B97">
        <w:rPr>
          <w:rFonts w:ascii="Calibri" w:hAnsi="Calibri" w:cs="Calibri"/>
          <w:sz w:val="22"/>
          <w:szCs w:val="22"/>
        </w:rPr>
        <w:t xml:space="preserve"> Nkft. mindösszesen 347.387 eFt összegű állami támogatásban részesül, míg a Mesebolt Bábszínház mindösszesen 81.055 eFt összegű támogatásban. </w:t>
      </w:r>
    </w:p>
    <w:p w14:paraId="277B71E4" w14:textId="15664A91" w:rsidR="00F123DF" w:rsidRPr="00273B97" w:rsidRDefault="00F123DF" w:rsidP="00F123DF">
      <w:pPr>
        <w:pStyle w:val="Listaszerbekezds"/>
        <w:ind w:left="720"/>
        <w:jc w:val="both"/>
        <w:rPr>
          <w:rFonts w:ascii="Calibri" w:hAnsi="Calibri" w:cs="Calibri"/>
          <w:sz w:val="22"/>
          <w:szCs w:val="22"/>
        </w:rPr>
      </w:pPr>
      <w:r w:rsidRPr="00273B97">
        <w:rPr>
          <w:rFonts w:ascii="Calibri" w:hAnsi="Calibri" w:cs="Calibri"/>
          <w:sz w:val="22"/>
          <w:szCs w:val="22"/>
        </w:rPr>
        <w:t xml:space="preserve">A pénzügyi finanszírozás a Kulturális és Innovációs Minisztérium részéről úgy történt, hogy a támogatási összegek 2025. I. negyedévre jutó részét közvetlenül (tényleges pénzforgalmi utalással) az önkormányzatunk kapta meg. Míg a 2025. II.-IV. negyedévre jutó támogatási összegeket pedig a WSSZ Nkft. és a Mesebolt Bábszínház részére utalta ki a Minisztérium. Tehát nem önkormányzatunknál jelentenek működési célú támogatásokat államháztartáson belülről, hanem az érintett szervezeteknél. </w:t>
      </w:r>
    </w:p>
    <w:p w14:paraId="1E449287" w14:textId="33FA7562" w:rsidR="00F123DF" w:rsidRPr="00273B97" w:rsidRDefault="00F123DF" w:rsidP="00F123DF">
      <w:pPr>
        <w:pStyle w:val="Listaszerbekezds"/>
        <w:ind w:left="720"/>
        <w:jc w:val="both"/>
        <w:rPr>
          <w:rFonts w:ascii="Calibri" w:hAnsi="Calibri" w:cs="Calibri"/>
          <w:sz w:val="22"/>
          <w:szCs w:val="22"/>
        </w:rPr>
      </w:pPr>
      <w:r w:rsidRPr="00273B97">
        <w:rPr>
          <w:rFonts w:ascii="Calibri" w:hAnsi="Calibri" w:cs="Calibri"/>
          <w:sz w:val="22"/>
          <w:szCs w:val="22"/>
        </w:rPr>
        <w:t xml:space="preserve">Ezért az önkormányzatnál bevételi előirányzat csökkentésre kerül, a kiadási előirányzatok csökkentésével egyidejűleg. </w:t>
      </w:r>
      <w:r w:rsidR="00BA2119">
        <w:rPr>
          <w:rFonts w:ascii="Calibri" w:hAnsi="Calibri" w:cs="Calibri"/>
          <w:sz w:val="22"/>
          <w:szCs w:val="22"/>
        </w:rPr>
        <w:t>A</w:t>
      </w:r>
      <w:r w:rsidRPr="00273B97">
        <w:rPr>
          <w:rFonts w:ascii="Calibri" w:hAnsi="Calibri" w:cs="Calibri"/>
          <w:sz w:val="22"/>
          <w:szCs w:val="22"/>
        </w:rPr>
        <w:t xml:space="preserve"> költségvetési intézmény saját hatáskörű előirányzat módosítás során emeli be költségvetésébe a központi támogatás összegét, valamint a kiadási előirányzatok emelését is végrehajtja. A gazdasági társaság pedig a rá vonatkozó számviteli szabályoknak megfelelően fogja elszámolni ezen bevételt és az éves </w:t>
      </w:r>
      <w:r w:rsidR="00273B97" w:rsidRPr="00273B97">
        <w:rPr>
          <w:rFonts w:ascii="Calibri" w:hAnsi="Calibri" w:cs="Calibri"/>
          <w:sz w:val="22"/>
          <w:szCs w:val="22"/>
        </w:rPr>
        <w:t xml:space="preserve">beszámolójában szerepelteti. A WSSZ Nkft. esetében ez 271.868 eFt összeget jelent, a Mesebolt Bábszínház esetében pedig 67.805 eFt-ot. </w:t>
      </w:r>
    </w:p>
    <w:p w14:paraId="635A4AC3" w14:textId="77777777" w:rsidR="00F123DF" w:rsidRPr="00F123DF" w:rsidRDefault="00F123DF" w:rsidP="00F123DF">
      <w:pPr>
        <w:pStyle w:val="Listaszerbekezds"/>
        <w:ind w:left="720"/>
        <w:jc w:val="both"/>
        <w:rPr>
          <w:rFonts w:ascii="Calibri" w:hAnsi="Calibri" w:cs="Calibri"/>
          <w:color w:val="FF0000"/>
          <w:sz w:val="22"/>
          <w:szCs w:val="22"/>
        </w:rPr>
      </w:pPr>
    </w:p>
    <w:p w14:paraId="27614DC7" w14:textId="31BACD02" w:rsidR="00500B0C" w:rsidRPr="00F14DC1" w:rsidRDefault="00A16441" w:rsidP="001926CD">
      <w:pPr>
        <w:ind w:left="708"/>
        <w:jc w:val="both"/>
        <w:rPr>
          <w:rFonts w:ascii="Calibri" w:hAnsi="Calibri" w:cs="Calibri"/>
          <w:b/>
          <w:i/>
          <w:sz w:val="22"/>
          <w:szCs w:val="22"/>
          <w:u w:val="single"/>
        </w:rPr>
      </w:pPr>
      <w:r w:rsidRPr="009B3FAA">
        <w:rPr>
          <w:rFonts w:ascii="Calibri" w:hAnsi="Calibri" w:cs="Calibri"/>
          <w:color w:val="FF0000"/>
          <w:sz w:val="22"/>
          <w:szCs w:val="22"/>
        </w:rPr>
        <w:t xml:space="preserve"> </w:t>
      </w:r>
      <w:r w:rsidR="00500B0C" w:rsidRPr="00F14DC1">
        <w:rPr>
          <w:rFonts w:ascii="Calibri" w:hAnsi="Calibri" w:cs="Calibri"/>
          <w:b/>
          <w:i/>
          <w:sz w:val="22"/>
          <w:szCs w:val="22"/>
          <w:u w:val="single"/>
        </w:rPr>
        <w:t xml:space="preserve">egyenleg: </w:t>
      </w:r>
      <w:r w:rsidR="007859AC">
        <w:rPr>
          <w:rFonts w:ascii="Calibri" w:hAnsi="Calibri" w:cs="Calibri"/>
          <w:b/>
          <w:i/>
          <w:sz w:val="22"/>
          <w:szCs w:val="22"/>
          <w:u w:val="single"/>
        </w:rPr>
        <w:t>-62.876</w:t>
      </w:r>
      <w:r w:rsidR="00293327" w:rsidRPr="00F14DC1">
        <w:rPr>
          <w:rFonts w:ascii="Calibri" w:hAnsi="Calibri" w:cs="Calibri"/>
          <w:b/>
          <w:i/>
          <w:color w:val="FF0000"/>
          <w:sz w:val="22"/>
          <w:szCs w:val="22"/>
          <w:u w:val="single"/>
        </w:rPr>
        <w:t xml:space="preserve"> </w:t>
      </w:r>
      <w:r w:rsidR="00500B0C" w:rsidRPr="00F14DC1">
        <w:rPr>
          <w:rFonts w:ascii="Calibri" w:hAnsi="Calibri" w:cs="Calibri"/>
          <w:b/>
          <w:i/>
          <w:sz w:val="22"/>
          <w:szCs w:val="22"/>
          <w:u w:val="single"/>
        </w:rPr>
        <w:t>eFt</w:t>
      </w:r>
    </w:p>
    <w:p w14:paraId="5AF18463" w14:textId="77777777" w:rsidR="00BF3A9B" w:rsidRPr="00F14DC1" w:rsidRDefault="00BF3A9B" w:rsidP="00BF3A9B">
      <w:pPr>
        <w:ind w:left="720"/>
        <w:jc w:val="both"/>
        <w:rPr>
          <w:rFonts w:ascii="Calibri" w:hAnsi="Calibri" w:cs="Calibri"/>
          <w:b/>
          <w:i/>
          <w:sz w:val="22"/>
          <w:szCs w:val="22"/>
          <w:u w:val="single"/>
        </w:rPr>
      </w:pPr>
    </w:p>
    <w:p w14:paraId="7E70B389" w14:textId="642EA5FB" w:rsidR="00500B0C" w:rsidRPr="007859AC" w:rsidRDefault="00500B0C" w:rsidP="00B26409">
      <w:pPr>
        <w:pStyle w:val="Listaszerbekezds"/>
        <w:numPr>
          <w:ilvl w:val="0"/>
          <w:numId w:val="5"/>
        </w:numPr>
        <w:jc w:val="both"/>
        <w:rPr>
          <w:rFonts w:ascii="Calibri" w:hAnsi="Calibri" w:cs="Calibri"/>
          <w:sz w:val="22"/>
          <w:szCs w:val="22"/>
        </w:rPr>
      </w:pPr>
      <w:r w:rsidRPr="007859AC">
        <w:rPr>
          <w:rFonts w:ascii="Calibri" w:hAnsi="Calibri" w:cs="Calibri"/>
          <w:sz w:val="22"/>
          <w:szCs w:val="22"/>
        </w:rPr>
        <w:t xml:space="preserve">A költségvetési szervek </w:t>
      </w:r>
      <w:r w:rsidRPr="007859AC">
        <w:rPr>
          <w:rFonts w:ascii="Calibri" w:hAnsi="Calibri" w:cs="Calibri"/>
          <w:b/>
          <w:bCs/>
          <w:i/>
          <w:iCs/>
          <w:sz w:val="22"/>
          <w:szCs w:val="22"/>
          <w:u w:val="single"/>
        </w:rPr>
        <w:t>saját hatáskörben végrehajtható előirányzat módosítási</w:t>
      </w:r>
      <w:r w:rsidRPr="007859AC">
        <w:rPr>
          <w:rFonts w:ascii="Calibri" w:hAnsi="Calibri" w:cs="Calibri"/>
          <w:b/>
          <w:i/>
          <w:sz w:val="22"/>
          <w:szCs w:val="22"/>
        </w:rPr>
        <w:t xml:space="preserve"> </w:t>
      </w:r>
      <w:r w:rsidRPr="007859AC">
        <w:rPr>
          <w:rFonts w:ascii="Calibri" w:hAnsi="Calibri" w:cs="Calibri"/>
          <w:sz w:val="22"/>
          <w:szCs w:val="22"/>
        </w:rPr>
        <w:t xml:space="preserve">kérelmet nyújtottak be. A bevételi és kiadási előirányzataik ezen módosítással összességében </w:t>
      </w:r>
      <w:r w:rsidR="007859AC" w:rsidRPr="007859AC">
        <w:rPr>
          <w:rFonts w:ascii="Calibri" w:hAnsi="Calibri" w:cs="Calibri"/>
          <w:sz w:val="22"/>
          <w:szCs w:val="22"/>
        </w:rPr>
        <w:t>391.397</w:t>
      </w:r>
      <w:r w:rsidRPr="007859AC">
        <w:rPr>
          <w:rFonts w:ascii="Calibri" w:hAnsi="Calibri" w:cs="Calibri"/>
          <w:color w:val="FF0000"/>
          <w:sz w:val="22"/>
          <w:szCs w:val="22"/>
        </w:rPr>
        <w:t xml:space="preserve"> </w:t>
      </w:r>
      <w:r w:rsidRPr="007859AC">
        <w:rPr>
          <w:rFonts w:ascii="Calibri" w:hAnsi="Calibri" w:cs="Calibri"/>
          <w:sz w:val="22"/>
          <w:szCs w:val="22"/>
        </w:rPr>
        <w:t xml:space="preserve">eFt-tal </w:t>
      </w:r>
      <w:r w:rsidR="00E43772" w:rsidRPr="007859AC">
        <w:rPr>
          <w:rFonts w:ascii="Calibri" w:hAnsi="Calibri" w:cs="Calibri"/>
          <w:sz w:val="22"/>
          <w:szCs w:val="22"/>
        </w:rPr>
        <w:t>növeked</w:t>
      </w:r>
      <w:r w:rsidR="00171A15" w:rsidRPr="007859AC">
        <w:rPr>
          <w:rFonts w:ascii="Calibri" w:hAnsi="Calibri" w:cs="Calibri"/>
          <w:sz w:val="22"/>
          <w:szCs w:val="22"/>
        </w:rPr>
        <w:t>tek</w:t>
      </w:r>
      <w:r w:rsidR="00E43772" w:rsidRPr="007859AC">
        <w:rPr>
          <w:rFonts w:ascii="Calibri" w:hAnsi="Calibri" w:cs="Calibri"/>
          <w:sz w:val="22"/>
          <w:szCs w:val="22"/>
        </w:rPr>
        <w:t>.</w:t>
      </w:r>
    </w:p>
    <w:p w14:paraId="256474BD" w14:textId="77777777" w:rsidR="00FC4CAB" w:rsidRDefault="00FC4CAB" w:rsidP="00FC4CAB">
      <w:pPr>
        <w:jc w:val="both"/>
        <w:rPr>
          <w:rFonts w:ascii="Calibri" w:hAnsi="Calibri" w:cs="Calibri"/>
          <w:sz w:val="22"/>
          <w:szCs w:val="22"/>
        </w:rPr>
      </w:pPr>
    </w:p>
    <w:p w14:paraId="1403EC32" w14:textId="244AE09A" w:rsidR="00443EB2" w:rsidRDefault="00443EB2" w:rsidP="00443EB2">
      <w:pPr>
        <w:ind w:left="709"/>
        <w:jc w:val="both"/>
        <w:rPr>
          <w:rFonts w:ascii="Calibri" w:hAnsi="Calibri" w:cs="Calibri"/>
          <w:sz w:val="22"/>
          <w:szCs w:val="22"/>
        </w:rPr>
      </w:pPr>
      <w:r w:rsidRPr="002B3C28">
        <w:rPr>
          <w:rFonts w:ascii="Calibri" w:hAnsi="Calibri" w:cs="Calibri"/>
          <w:sz w:val="22"/>
          <w:szCs w:val="22"/>
        </w:rPr>
        <w:t xml:space="preserve">A 18 óvoda összesen 1.996 eFt </w:t>
      </w:r>
      <w:r w:rsidR="003363D7">
        <w:rPr>
          <w:rFonts w:ascii="Calibri" w:hAnsi="Calibri" w:cs="Calibri"/>
          <w:sz w:val="22"/>
          <w:szCs w:val="22"/>
        </w:rPr>
        <w:t xml:space="preserve">intézményi </w:t>
      </w:r>
      <w:r w:rsidRPr="002B3C28">
        <w:rPr>
          <w:rFonts w:ascii="Calibri" w:hAnsi="Calibri" w:cs="Calibri"/>
          <w:sz w:val="22"/>
          <w:szCs w:val="22"/>
        </w:rPr>
        <w:t xml:space="preserve">működési bevételi többletet realizált. Ezen bevételek az óvodák tekintetében óvodai szolgáltatáshoz (pl. tánc és korcsolya oktatás, angol nyelvi oktatás) kapcsolódó befizetésekből származnak. A többletbevételek szakmai anyag beszerzésekre és a hozzá kapcsolódó áfa kiadásokra kerülnek felhasználásra, ezért a dologi kiadások előirányzata került megemelésre. </w:t>
      </w:r>
    </w:p>
    <w:p w14:paraId="2E3D3B7C" w14:textId="1EACD296" w:rsidR="003363D7" w:rsidRDefault="003363D7" w:rsidP="00443EB2">
      <w:pPr>
        <w:ind w:left="709"/>
        <w:jc w:val="both"/>
        <w:rPr>
          <w:rFonts w:ascii="Calibri" w:hAnsi="Calibri" w:cs="Calibri"/>
          <w:sz w:val="22"/>
          <w:szCs w:val="22"/>
        </w:rPr>
      </w:pPr>
      <w:r>
        <w:rPr>
          <w:rFonts w:ascii="Calibri" w:hAnsi="Calibri" w:cs="Calibri"/>
          <w:sz w:val="22"/>
          <w:szCs w:val="22"/>
        </w:rPr>
        <w:t xml:space="preserve">4 óvoda esetében pályázati pénzeszközökből, beszedett csoport pénzek összegeiből mindösszesen 1.144 eFt összegű többletbevétel keletkezett. A pályázati kiírásnak megfelelően kerültek beemelésre a kiadási előirányzatok, illetve szakmai anyag beszerzés tétele került megemelésre. </w:t>
      </w:r>
    </w:p>
    <w:p w14:paraId="02FBDBB7" w14:textId="01FCE1D2" w:rsidR="000C594C" w:rsidRPr="00190303" w:rsidRDefault="000C594C" w:rsidP="000C594C">
      <w:pPr>
        <w:ind w:left="709"/>
        <w:jc w:val="both"/>
        <w:rPr>
          <w:rFonts w:ascii="Calibri" w:hAnsi="Calibri" w:cs="Calibri"/>
          <w:sz w:val="22"/>
          <w:szCs w:val="22"/>
        </w:rPr>
      </w:pPr>
      <w:r>
        <w:rPr>
          <w:rFonts w:ascii="Calibri" w:hAnsi="Calibri" w:cs="Calibri"/>
          <w:sz w:val="22"/>
          <w:szCs w:val="22"/>
        </w:rPr>
        <w:t>A 2024. évi maradvány elszámolásakor visszaengedélyezett és jóváhagyott összegek (30 millió Ft) felhasználása megtörtént (Aréna Óvodában redőny felszerelése, Szivárvány Óvoda udvari játék javítás, Donászy Magda Óvoda alumínium bejárati ajtó, Játéksziget Óvoda tisztasági festés, Kőrösi Óvoda kerítés építés, Vadvirág Óvoda felújítás (termek, irodák, tornaszoba), Szűrcsapó Óvoda kerítés festés, klíma berendezés, burkolás, Benczúr Óvoda kerékpártároló tető készítése, stb.)</w:t>
      </w:r>
    </w:p>
    <w:p w14:paraId="62BB664C" w14:textId="28756210" w:rsidR="003363D7" w:rsidRDefault="000C594C" w:rsidP="000C594C">
      <w:pPr>
        <w:ind w:left="709"/>
        <w:jc w:val="both"/>
        <w:rPr>
          <w:rFonts w:ascii="Calibri" w:hAnsi="Calibri" w:cs="Calibri"/>
          <w:sz w:val="22"/>
          <w:szCs w:val="22"/>
        </w:rPr>
      </w:pPr>
      <w:r>
        <w:rPr>
          <w:rFonts w:ascii="Calibri" w:hAnsi="Calibri" w:cs="Calibri"/>
          <w:sz w:val="22"/>
          <w:szCs w:val="22"/>
        </w:rPr>
        <w:t>Ennek megfelelően indokolt</w:t>
      </w:r>
      <w:r w:rsidRPr="000C594C">
        <w:rPr>
          <w:rFonts w:ascii="Calibri" w:hAnsi="Calibri" w:cs="Calibri"/>
          <w:sz w:val="22"/>
          <w:szCs w:val="22"/>
        </w:rPr>
        <w:t xml:space="preserve"> </w:t>
      </w:r>
      <w:r>
        <w:rPr>
          <w:rFonts w:ascii="Calibri" w:hAnsi="Calibri" w:cs="Calibri"/>
          <w:sz w:val="22"/>
          <w:szCs w:val="22"/>
        </w:rPr>
        <w:t xml:space="preserve">a személyi juttatások és járulékai maradvány előirányzatából átcsoportosítani a dologi és felhalmozási kiadások előirányzatai közé. </w:t>
      </w:r>
    </w:p>
    <w:p w14:paraId="085C6A92" w14:textId="77777777" w:rsidR="003363D7" w:rsidRDefault="003363D7" w:rsidP="00443EB2">
      <w:pPr>
        <w:ind w:left="709"/>
        <w:jc w:val="both"/>
        <w:rPr>
          <w:rFonts w:ascii="Calibri" w:hAnsi="Calibri" w:cs="Calibri"/>
          <w:sz w:val="22"/>
          <w:szCs w:val="22"/>
        </w:rPr>
      </w:pPr>
    </w:p>
    <w:p w14:paraId="7893A1F8" w14:textId="5D034CCE" w:rsidR="003363D7" w:rsidRDefault="000C594C" w:rsidP="00443EB2">
      <w:pPr>
        <w:ind w:left="709"/>
        <w:jc w:val="both"/>
        <w:rPr>
          <w:rFonts w:ascii="Calibri" w:hAnsi="Calibri" w:cs="Calibri"/>
          <w:sz w:val="22"/>
          <w:szCs w:val="22"/>
        </w:rPr>
      </w:pPr>
      <w:r w:rsidRPr="000C594C">
        <w:rPr>
          <w:rFonts w:ascii="Calibri" w:hAnsi="Calibri" w:cs="Calibri"/>
          <w:sz w:val="22"/>
          <w:szCs w:val="22"/>
        </w:rPr>
        <w:t>A Szombathelyi Köznevelési GAMESZ vonatkozásában a nem szombathelyi lakcímmel rendelkező óvodások után a vidéki önkormányzatok által befizetett étkezési hozzájárulások bevételi többlete 1.244 eFt került beemelésre</w:t>
      </w:r>
      <w:r w:rsidR="005B11E2">
        <w:rPr>
          <w:rFonts w:ascii="Calibri" w:hAnsi="Calibri" w:cs="Calibri"/>
          <w:sz w:val="22"/>
          <w:szCs w:val="22"/>
        </w:rPr>
        <w:t xml:space="preserve"> a dologi kiadások (vásárolt élelmezés) előirányzatának megemelése mellett. </w:t>
      </w:r>
    </w:p>
    <w:p w14:paraId="5FF1FCCA" w14:textId="673BF212" w:rsidR="005B11E2" w:rsidRDefault="005B11E2" w:rsidP="00443EB2">
      <w:pPr>
        <w:ind w:left="709"/>
        <w:jc w:val="both"/>
        <w:rPr>
          <w:rFonts w:ascii="Calibri" w:hAnsi="Calibri" w:cs="Calibri"/>
          <w:sz w:val="22"/>
          <w:szCs w:val="22"/>
        </w:rPr>
      </w:pPr>
      <w:r>
        <w:rPr>
          <w:rFonts w:ascii="Calibri" w:hAnsi="Calibri" w:cs="Calibri"/>
          <w:sz w:val="22"/>
          <w:szCs w:val="22"/>
        </w:rPr>
        <w:t xml:space="preserve">A személyi juttatások és járulékai, valamint a dologi kiadások előirányzatai között történő átcsoportosítást az alábbiak indokolják: </w:t>
      </w:r>
    </w:p>
    <w:p w14:paraId="6DB67F84" w14:textId="77777777" w:rsidR="005B11E2" w:rsidRDefault="005B11E2" w:rsidP="00443EB2">
      <w:pPr>
        <w:ind w:left="709"/>
        <w:jc w:val="both"/>
        <w:rPr>
          <w:rFonts w:ascii="Calibri" w:hAnsi="Calibri" w:cs="Calibri"/>
          <w:sz w:val="22"/>
          <w:szCs w:val="22"/>
        </w:rPr>
      </w:pPr>
    </w:p>
    <w:p w14:paraId="011CD1D2" w14:textId="3418C300" w:rsidR="005B11E2" w:rsidRDefault="005B11E2" w:rsidP="004E29E1">
      <w:pPr>
        <w:pStyle w:val="Listaszerbekezds"/>
        <w:numPr>
          <w:ilvl w:val="0"/>
          <w:numId w:val="27"/>
        </w:numPr>
        <w:ind w:left="993" w:hanging="142"/>
        <w:jc w:val="both"/>
        <w:rPr>
          <w:rFonts w:ascii="Calibri" w:hAnsi="Calibri" w:cs="Calibri"/>
          <w:sz w:val="22"/>
          <w:szCs w:val="22"/>
        </w:rPr>
      </w:pPr>
      <w:r w:rsidRPr="005B11E2">
        <w:rPr>
          <w:rFonts w:ascii="Calibri" w:hAnsi="Calibri" w:cs="Calibri"/>
          <w:sz w:val="22"/>
          <w:szCs w:val="22"/>
        </w:rPr>
        <w:lastRenderedPageBreak/>
        <w:t xml:space="preserve">A 2025 .évi költségvetésben személyi juttatások és járulékai tételeken tervezett, de a dologi kiadásokon kifizetésre kerülő vállalkozói díjak (közbeszerzési tanácsadós, jogi tanácsadás, energetikai feladatok, műszaki ellenőri feladatok, stb. ) </w:t>
      </w:r>
      <w:r>
        <w:rPr>
          <w:rFonts w:ascii="Calibri" w:hAnsi="Calibri" w:cs="Calibri"/>
          <w:sz w:val="22"/>
          <w:szCs w:val="22"/>
        </w:rPr>
        <w:t xml:space="preserve">átcsoportosítása. </w:t>
      </w:r>
    </w:p>
    <w:p w14:paraId="0F33C8C2" w14:textId="3665D0BF" w:rsidR="005B11E2" w:rsidRPr="00686AC0" w:rsidRDefault="005B11E2" w:rsidP="004E29E1">
      <w:pPr>
        <w:pStyle w:val="Listaszerbekezds"/>
        <w:numPr>
          <w:ilvl w:val="0"/>
          <w:numId w:val="28"/>
        </w:numPr>
        <w:ind w:left="993" w:hanging="142"/>
        <w:jc w:val="both"/>
        <w:rPr>
          <w:rFonts w:ascii="Calibri" w:hAnsi="Calibri" w:cs="Calibri"/>
          <w:sz w:val="22"/>
          <w:szCs w:val="22"/>
        </w:rPr>
      </w:pPr>
      <w:r w:rsidRPr="00686AC0">
        <w:rPr>
          <w:rFonts w:ascii="Calibri" w:hAnsi="Calibri" w:cs="Calibri"/>
          <w:sz w:val="22"/>
          <w:szCs w:val="22"/>
        </w:rPr>
        <w:t xml:space="preserve">Bizottsági döntés alapján az intézmény a nyári napközis tábor lebonyolítására önkormányzati támogatást kapott. A ténylegesen felmerült kiadási előirányzatoknak megfelelően </w:t>
      </w:r>
      <w:r w:rsidR="00686AC0" w:rsidRPr="00686AC0">
        <w:rPr>
          <w:rFonts w:ascii="Calibri" w:hAnsi="Calibri" w:cs="Calibri"/>
          <w:sz w:val="22"/>
          <w:szCs w:val="22"/>
        </w:rPr>
        <w:t xml:space="preserve">átcsoportosítással rendezett. </w:t>
      </w:r>
      <w:r w:rsidRPr="00686AC0">
        <w:rPr>
          <w:rFonts w:ascii="Calibri" w:hAnsi="Calibri" w:cs="Calibri"/>
          <w:sz w:val="22"/>
          <w:szCs w:val="22"/>
        </w:rPr>
        <w:t xml:space="preserve"> </w:t>
      </w:r>
    </w:p>
    <w:p w14:paraId="0F78D4FB" w14:textId="77777777" w:rsidR="005B11E2" w:rsidRDefault="005B11E2" w:rsidP="00443EB2">
      <w:pPr>
        <w:ind w:left="709"/>
        <w:jc w:val="both"/>
        <w:rPr>
          <w:rFonts w:ascii="Calibri" w:hAnsi="Calibri" w:cs="Calibri"/>
          <w:sz w:val="22"/>
          <w:szCs w:val="22"/>
        </w:rPr>
      </w:pPr>
    </w:p>
    <w:p w14:paraId="12C386D8" w14:textId="7FDB778A" w:rsidR="009E188C" w:rsidRDefault="003363D7" w:rsidP="00DE512C">
      <w:pPr>
        <w:ind w:left="709"/>
        <w:jc w:val="both"/>
        <w:rPr>
          <w:rFonts w:ascii="Calibri" w:hAnsi="Calibri" w:cs="Calibri"/>
          <w:sz w:val="22"/>
          <w:szCs w:val="22"/>
        </w:rPr>
      </w:pPr>
      <w:r w:rsidRPr="00262681">
        <w:rPr>
          <w:rFonts w:ascii="Calibri" w:hAnsi="Calibri" w:cs="Calibri"/>
          <w:sz w:val="22"/>
          <w:szCs w:val="22"/>
        </w:rPr>
        <w:t xml:space="preserve">A dologi kiadások és a felhalmozási kiadások előirányzatai közötti </w:t>
      </w:r>
      <w:r w:rsidR="009E188C">
        <w:rPr>
          <w:rFonts w:ascii="Calibri" w:hAnsi="Calibri" w:cs="Calibri"/>
          <w:sz w:val="22"/>
          <w:szCs w:val="22"/>
        </w:rPr>
        <w:t>átcsoportosítás a számviteli szabályok szerint tényleges elszámolás alapján történt. Az alábbi tételek kerültek rendezésre:</w:t>
      </w:r>
    </w:p>
    <w:p w14:paraId="628FFF13" w14:textId="517FB9DD" w:rsidR="009E188C" w:rsidRDefault="009850B6" w:rsidP="00BC0852">
      <w:pPr>
        <w:pStyle w:val="Listaszerbekezds"/>
        <w:numPr>
          <w:ilvl w:val="0"/>
          <w:numId w:val="28"/>
        </w:numPr>
        <w:ind w:left="1134" w:hanging="141"/>
        <w:jc w:val="both"/>
        <w:rPr>
          <w:rFonts w:ascii="Calibri" w:hAnsi="Calibri" w:cs="Calibri"/>
          <w:sz w:val="22"/>
          <w:szCs w:val="22"/>
        </w:rPr>
      </w:pPr>
      <w:r>
        <w:rPr>
          <w:rFonts w:ascii="Calibri" w:hAnsi="Calibri" w:cs="Calibri"/>
          <w:sz w:val="22"/>
          <w:szCs w:val="22"/>
        </w:rPr>
        <w:t>A</w:t>
      </w:r>
      <w:r w:rsidR="003363D7" w:rsidRPr="009E188C">
        <w:rPr>
          <w:rFonts w:ascii="Calibri" w:hAnsi="Calibri" w:cs="Calibri"/>
          <w:sz w:val="22"/>
          <w:szCs w:val="22"/>
        </w:rPr>
        <w:t xml:space="preserve"> Sz</w:t>
      </w:r>
      <w:r w:rsidR="009E188C">
        <w:rPr>
          <w:rFonts w:ascii="Calibri" w:hAnsi="Calibri" w:cs="Calibri"/>
          <w:sz w:val="22"/>
          <w:szCs w:val="22"/>
        </w:rPr>
        <w:t>ű</w:t>
      </w:r>
      <w:r w:rsidR="003363D7" w:rsidRPr="009E188C">
        <w:rPr>
          <w:rFonts w:ascii="Calibri" w:hAnsi="Calibri" w:cs="Calibri"/>
          <w:sz w:val="22"/>
          <w:szCs w:val="22"/>
        </w:rPr>
        <w:t>rcsapó Óvod</w:t>
      </w:r>
      <w:r w:rsidR="009E188C">
        <w:rPr>
          <w:rFonts w:ascii="Calibri" w:hAnsi="Calibri" w:cs="Calibri"/>
          <w:sz w:val="22"/>
          <w:szCs w:val="22"/>
        </w:rPr>
        <w:t>á</w:t>
      </w:r>
      <w:r w:rsidR="003363D7" w:rsidRPr="009E188C">
        <w:rPr>
          <w:rFonts w:ascii="Calibri" w:hAnsi="Calibri" w:cs="Calibri"/>
          <w:sz w:val="22"/>
          <w:szCs w:val="22"/>
        </w:rPr>
        <w:t>ban saját kivitelezésű beruházásként kialakított fejlesztő szoba</w:t>
      </w:r>
      <w:r w:rsidR="009E188C">
        <w:rPr>
          <w:rFonts w:ascii="Calibri" w:hAnsi="Calibri" w:cs="Calibri"/>
          <w:sz w:val="22"/>
          <w:szCs w:val="22"/>
        </w:rPr>
        <w:t xml:space="preserve"> kiadásai</w:t>
      </w:r>
      <w:r>
        <w:rPr>
          <w:rFonts w:ascii="Calibri" w:hAnsi="Calibri" w:cs="Calibri"/>
          <w:sz w:val="22"/>
          <w:szCs w:val="22"/>
        </w:rPr>
        <w:t>.</w:t>
      </w:r>
    </w:p>
    <w:p w14:paraId="3634722A" w14:textId="4A9B4CFC" w:rsidR="009E188C" w:rsidRDefault="009850B6" w:rsidP="00BC0852">
      <w:pPr>
        <w:pStyle w:val="Listaszerbekezds"/>
        <w:numPr>
          <w:ilvl w:val="0"/>
          <w:numId w:val="28"/>
        </w:numPr>
        <w:ind w:left="1134" w:hanging="141"/>
        <w:jc w:val="both"/>
        <w:rPr>
          <w:rFonts w:ascii="Calibri" w:hAnsi="Calibri" w:cs="Calibri"/>
          <w:sz w:val="22"/>
          <w:szCs w:val="22"/>
        </w:rPr>
      </w:pPr>
      <w:r>
        <w:rPr>
          <w:rFonts w:ascii="Calibri" w:hAnsi="Calibri" w:cs="Calibri"/>
          <w:sz w:val="22"/>
          <w:szCs w:val="22"/>
        </w:rPr>
        <w:t>A</w:t>
      </w:r>
      <w:r w:rsidR="003363D7" w:rsidRPr="009E188C">
        <w:rPr>
          <w:rFonts w:ascii="Calibri" w:hAnsi="Calibri" w:cs="Calibri"/>
          <w:sz w:val="22"/>
          <w:szCs w:val="22"/>
        </w:rPr>
        <w:t xml:space="preserve"> Gazdag Erzsi Óvodában történt villamoshálózat tervezésé</w:t>
      </w:r>
      <w:r w:rsidR="009E188C">
        <w:rPr>
          <w:rFonts w:ascii="Calibri" w:hAnsi="Calibri" w:cs="Calibri"/>
          <w:sz w:val="22"/>
          <w:szCs w:val="22"/>
        </w:rPr>
        <w:t>nek kiadása</w:t>
      </w:r>
      <w:r>
        <w:rPr>
          <w:rFonts w:ascii="Calibri" w:hAnsi="Calibri" w:cs="Calibri"/>
          <w:sz w:val="22"/>
          <w:szCs w:val="22"/>
        </w:rPr>
        <w:t>.</w:t>
      </w:r>
    </w:p>
    <w:p w14:paraId="146225A0" w14:textId="094BE313" w:rsidR="003363D7" w:rsidRDefault="00DE512C" w:rsidP="00BC0852">
      <w:pPr>
        <w:pStyle w:val="Listaszerbekezds"/>
        <w:numPr>
          <w:ilvl w:val="0"/>
          <w:numId w:val="28"/>
        </w:numPr>
        <w:ind w:left="1134" w:hanging="141"/>
        <w:jc w:val="both"/>
        <w:rPr>
          <w:rFonts w:ascii="Calibri" w:hAnsi="Calibri" w:cs="Calibri"/>
          <w:sz w:val="22"/>
          <w:szCs w:val="22"/>
        </w:rPr>
      </w:pPr>
      <w:r>
        <w:rPr>
          <w:rFonts w:ascii="Calibri" w:hAnsi="Calibri" w:cs="Calibri"/>
          <w:sz w:val="22"/>
          <w:szCs w:val="22"/>
        </w:rPr>
        <w:t>A</w:t>
      </w:r>
      <w:r w:rsidR="003363D7" w:rsidRPr="009E188C">
        <w:rPr>
          <w:rFonts w:ascii="Calibri" w:hAnsi="Calibri" w:cs="Calibri"/>
          <w:sz w:val="22"/>
          <w:szCs w:val="22"/>
        </w:rPr>
        <w:t>z 1 éven túl használt tárgyi eszközök</w:t>
      </w:r>
      <w:r w:rsidR="009E188C">
        <w:rPr>
          <w:rFonts w:ascii="Calibri" w:hAnsi="Calibri" w:cs="Calibri"/>
          <w:sz w:val="22"/>
          <w:szCs w:val="22"/>
        </w:rPr>
        <w:t xml:space="preserve"> (</w:t>
      </w:r>
      <w:r w:rsidR="009E188C" w:rsidRPr="009E188C">
        <w:rPr>
          <w:rFonts w:ascii="Calibri" w:hAnsi="Calibri" w:cs="Calibri"/>
          <w:sz w:val="22"/>
          <w:szCs w:val="22"/>
        </w:rPr>
        <w:t>klíma, szerszámok, tetőcsomagtartó</w:t>
      </w:r>
      <w:r w:rsidR="009E188C">
        <w:rPr>
          <w:rFonts w:ascii="Calibri" w:hAnsi="Calibri" w:cs="Calibri"/>
          <w:sz w:val="22"/>
          <w:szCs w:val="22"/>
        </w:rPr>
        <w:t>, stb. beszerzése) kiadásai.</w:t>
      </w:r>
    </w:p>
    <w:p w14:paraId="77D9AD43" w14:textId="7102B765" w:rsidR="009E188C" w:rsidRPr="0036292D" w:rsidRDefault="00DE512C" w:rsidP="00BC0852">
      <w:pPr>
        <w:pStyle w:val="Listaszerbekezds"/>
        <w:numPr>
          <w:ilvl w:val="0"/>
          <w:numId w:val="28"/>
        </w:numPr>
        <w:ind w:left="1134" w:hanging="141"/>
        <w:jc w:val="both"/>
        <w:rPr>
          <w:rFonts w:ascii="Calibri" w:hAnsi="Calibri" w:cs="Calibri"/>
          <w:sz w:val="22"/>
          <w:szCs w:val="22"/>
        </w:rPr>
      </w:pPr>
      <w:r>
        <w:rPr>
          <w:rFonts w:ascii="Calibri" w:hAnsi="Calibri" w:cs="Calibri"/>
          <w:sz w:val="22"/>
          <w:szCs w:val="22"/>
        </w:rPr>
        <w:t>A</w:t>
      </w:r>
      <w:r w:rsidR="0036292D">
        <w:rPr>
          <w:rFonts w:ascii="Calibri" w:hAnsi="Calibri" w:cs="Calibri"/>
          <w:sz w:val="22"/>
          <w:szCs w:val="22"/>
        </w:rPr>
        <w:t xml:space="preserve"> </w:t>
      </w:r>
      <w:r w:rsidR="0036292D" w:rsidRPr="0036292D">
        <w:rPr>
          <w:rFonts w:ascii="Calibri" w:hAnsi="Calibri" w:cs="Calibri"/>
          <w:sz w:val="22"/>
          <w:szCs w:val="22"/>
        </w:rPr>
        <w:t>Pipitér Óvoda kerítésének újjáépítés</w:t>
      </w:r>
      <w:r w:rsidR="0036292D">
        <w:rPr>
          <w:rFonts w:ascii="Calibri" w:hAnsi="Calibri" w:cs="Calibri"/>
          <w:sz w:val="22"/>
          <w:szCs w:val="22"/>
        </w:rPr>
        <w:t xml:space="preserve">e (az óvodák külső-belső bejáratainak biztonságosabbá tétele érdekében már jóváhagyott összeg). </w:t>
      </w:r>
    </w:p>
    <w:p w14:paraId="3F61C009" w14:textId="77777777" w:rsidR="009E188C" w:rsidRDefault="009E188C" w:rsidP="003363D7">
      <w:pPr>
        <w:ind w:left="709"/>
        <w:jc w:val="both"/>
        <w:rPr>
          <w:rFonts w:ascii="Calibri" w:hAnsi="Calibri" w:cs="Calibri"/>
          <w:sz w:val="22"/>
          <w:szCs w:val="22"/>
        </w:rPr>
      </w:pPr>
    </w:p>
    <w:p w14:paraId="0239AB17" w14:textId="26979F71" w:rsidR="00BA2119" w:rsidRDefault="00BA2119" w:rsidP="00BA2119">
      <w:pPr>
        <w:ind w:left="709"/>
        <w:jc w:val="both"/>
        <w:rPr>
          <w:rFonts w:ascii="Calibri" w:hAnsi="Calibri" w:cs="Calibri"/>
          <w:sz w:val="22"/>
          <w:szCs w:val="22"/>
        </w:rPr>
      </w:pPr>
      <w:r>
        <w:rPr>
          <w:rFonts w:ascii="Calibri" w:hAnsi="Calibri" w:cs="Calibri"/>
          <w:sz w:val="22"/>
          <w:szCs w:val="22"/>
        </w:rPr>
        <w:t>A</w:t>
      </w:r>
      <w:r w:rsidRPr="00BA2119">
        <w:rPr>
          <w:rFonts w:ascii="Calibri" w:hAnsi="Calibri" w:cs="Calibri"/>
          <w:sz w:val="22"/>
          <w:szCs w:val="22"/>
        </w:rPr>
        <w:t xml:space="preserve"> Mesebolt Bábszínház központi finanszírozásáról szóló közös működtetési megállapodások, támogatói okiratok, engedményezési megállapodások alapján indokolt rendezni a költségvetési előirányzatokat. </w:t>
      </w:r>
    </w:p>
    <w:p w14:paraId="79654A13" w14:textId="1FF110AC" w:rsidR="00BA2119" w:rsidRPr="00BA2119" w:rsidRDefault="00BA2119" w:rsidP="00BA2119">
      <w:pPr>
        <w:ind w:left="709"/>
        <w:jc w:val="both"/>
        <w:rPr>
          <w:rFonts w:ascii="Calibri" w:hAnsi="Calibri" w:cs="Calibri"/>
          <w:sz w:val="22"/>
          <w:szCs w:val="22"/>
        </w:rPr>
      </w:pPr>
      <w:r>
        <w:rPr>
          <w:rFonts w:ascii="Calibri" w:hAnsi="Calibri" w:cs="Calibri"/>
          <w:sz w:val="22"/>
          <w:szCs w:val="22"/>
        </w:rPr>
        <w:t>2</w:t>
      </w:r>
      <w:r w:rsidRPr="00BA2119">
        <w:rPr>
          <w:rFonts w:ascii="Calibri" w:hAnsi="Calibri" w:cs="Calibri"/>
          <w:sz w:val="22"/>
          <w:szCs w:val="22"/>
        </w:rPr>
        <w:t xml:space="preserve">025. évre vonatkozóan </w:t>
      </w:r>
      <w:r>
        <w:rPr>
          <w:rFonts w:ascii="Calibri" w:hAnsi="Calibri" w:cs="Calibri"/>
          <w:sz w:val="22"/>
          <w:szCs w:val="22"/>
        </w:rPr>
        <w:t xml:space="preserve">a </w:t>
      </w:r>
      <w:r w:rsidRPr="00BA2119">
        <w:rPr>
          <w:rFonts w:ascii="Calibri" w:hAnsi="Calibri" w:cs="Calibri"/>
          <w:sz w:val="22"/>
          <w:szCs w:val="22"/>
        </w:rPr>
        <w:t>Bábszínház mindösszesen 81.055 eFt összegű támogatásban</w:t>
      </w:r>
      <w:r>
        <w:rPr>
          <w:rFonts w:ascii="Calibri" w:hAnsi="Calibri" w:cs="Calibri"/>
          <w:sz w:val="22"/>
          <w:szCs w:val="22"/>
        </w:rPr>
        <w:t xml:space="preserve"> részesül.</w:t>
      </w:r>
    </w:p>
    <w:p w14:paraId="65C735F8" w14:textId="248BBDBE" w:rsidR="00BA2119" w:rsidRPr="00BA2119" w:rsidRDefault="00BA2119" w:rsidP="00BA2119">
      <w:pPr>
        <w:ind w:left="709"/>
        <w:jc w:val="both"/>
        <w:rPr>
          <w:rFonts w:ascii="Calibri" w:hAnsi="Calibri" w:cs="Calibri"/>
          <w:sz w:val="22"/>
          <w:szCs w:val="22"/>
        </w:rPr>
      </w:pPr>
      <w:r w:rsidRPr="00BA2119">
        <w:rPr>
          <w:rFonts w:ascii="Calibri" w:hAnsi="Calibri" w:cs="Calibri"/>
          <w:sz w:val="22"/>
          <w:szCs w:val="22"/>
        </w:rPr>
        <w:t xml:space="preserve">A pénzügyi finanszírozás a Kulturális és Innovációs Minisztérium részéről úgy történt, hogy a támogatási összegek 2025. I. negyedévre jutó részét közvetlenül (tényleges pénzforgalmi utalással) az önkormányzatunk kapta meg. Míg a 2025. II.-IV. negyedévre jutó támogatási összeget pedig az intézmény részére utalta ki a Minisztérium. </w:t>
      </w:r>
    </w:p>
    <w:p w14:paraId="7031CCAA" w14:textId="71B58BFD" w:rsidR="00BA2119" w:rsidRPr="00BA2119" w:rsidRDefault="00BA2119" w:rsidP="00443EB2">
      <w:pPr>
        <w:ind w:left="709"/>
        <w:jc w:val="both"/>
        <w:rPr>
          <w:rFonts w:ascii="Calibri" w:hAnsi="Calibri" w:cs="Calibri"/>
          <w:sz w:val="22"/>
          <w:szCs w:val="22"/>
        </w:rPr>
      </w:pPr>
      <w:r w:rsidRPr="00BA2119">
        <w:rPr>
          <w:rFonts w:ascii="Calibri" w:hAnsi="Calibri" w:cs="Calibri"/>
          <w:sz w:val="22"/>
          <w:szCs w:val="22"/>
        </w:rPr>
        <w:t>Ennek megfelelően az intézmény működési célú bevétel elő</w:t>
      </w:r>
      <w:r>
        <w:rPr>
          <w:rFonts w:ascii="Calibri" w:hAnsi="Calibri" w:cs="Calibri"/>
          <w:sz w:val="22"/>
          <w:szCs w:val="22"/>
        </w:rPr>
        <w:t>i</w:t>
      </w:r>
      <w:r w:rsidRPr="00BA2119">
        <w:rPr>
          <w:rFonts w:ascii="Calibri" w:hAnsi="Calibri" w:cs="Calibri"/>
          <w:sz w:val="22"/>
          <w:szCs w:val="22"/>
        </w:rPr>
        <w:t xml:space="preserve">rányzata és ezzel egyidejűleg a személyi juttatások és járulékok előirányzata 67.805 eFt összeggel megemelésre került. </w:t>
      </w:r>
    </w:p>
    <w:p w14:paraId="3BD41BC1" w14:textId="77777777" w:rsidR="00BA2119" w:rsidRDefault="00BA2119" w:rsidP="00443EB2">
      <w:pPr>
        <w:ind w:left="709"/>
        <w:jc w:val="both"/>
        <w:rPr>
          <w:rFonts w:ascii="Calibri" w:hAnsi="Calibri" w:cs="Calibri"/>
          <w:sz w:val="22"/>
          <w:szCs w:val="22"/>
          <w:highlight w:val="yellow"/>
        </w:rPr>
      </w:pPr>
    </w:p>
    <w:p w14:paraId="036922EA" w14:textId="2E58088C" w:rsidR="00443EB2" w:rsidRDefault="00443EB2" w:rsidP="00443EB2">
      <w:pPr>
        <w:ind w:left="709"/>
        <w:jc w:val="both"/>
        <w:rPr>
          <w:rFonts w:ascii="Calibri" w:hAnsi="Calibri" w:cs="Calibri"/>
          <w:sz w:val="22"/>
          <w:szCs w:val="22"/>
        </w:rPr>
      </w:pPr>
      <w:r>
        <w:rPr>
          <w:rFonts w:ascii="Calibri" w:hAnsi="Calibri" w:cs="Calibri"/>
          <w:sz w:val="22"/>
          <w:szCs w:val="22"/>
        </w:rPr>
        <w:t>A Savaria Szimfonikus Zenekar az EMT-ZENEMŰV-25-0032 pályázaton 212.951 e Ft működési és felhalmozási célú támogatást nyert. Megtörtént ezen összeg bevételi előirányzat</w:t>
      </w:r>
      <w:r w:rsidR="00547744">
        <w:rPr>
          <w:rFonts w:ascii="Calibri" w:hAnsi="Calibri" w:cs="Calibri"/>
          <w:sz w:val="22"/>
          <w:szCs w:val="22"/>
        </w:rPr>
        <w:t>ának</w:t>
      </w:r>
      <w:r>
        <w:rPr>
          <w:rFonts w:ascii="Calibri" w:hAnsi="Calibri" w:cs="Calibri"/>
          <w:sz w:val="22"/>
          <w:szCs w:val="22"/>
        </w:rPr>
        <w:t xml:space="preserve"> megemelése és ezzel egyid</w:t>
      </w:r>
      <w:r w:rsidR="00547744">
        <w:rPr>
          <w:rFonts w:ascii="Calibri" w:hAnsi="Calibri" w:cs="Calibri"/>
          <w:sz w:val="22"/>
          <w:szCs w:val="22"/>
        </w:rPr>
        <w:t>e</w:t>
      </w:r>
      <w:r>
        <w:rPr>
          <w:rFonts w:ascii="Calibri" w:hAnsi="Calibri" w:cs="Calibri"/>
          <w:sz w:val="22"/>
          <w:szCs w:val="22"/>
        </w:rPr>
        <w:t>jűleg a</w:t>
      </w:r>
      <w:r w:rsidR="00547744">
        <w:rPr>
          <w:rFonts w:ascii="Calibri" w:hAnsi="Calibri" w:cs="Calibri"/>
          <w:sz w:val="22"/>
          <w:szCs w:val="22"/>
        </w:rPr>
        <w:t xml:space="preserve"> pályázatnak megfelelő </w:t>
      </w:r>
      <w:r>
        <w:rPr>
          <w:rFonts w:ascii="Calibri" w:hAnsi="Calibri" w:cs="Calibri"/>
          <w:sz w:val="22"/>
          <w:szCs w:val="22"/>
        </w:rPr>
        <w:t>kiadásokra (előadások tiszteletdíja és járulékai, üzemeltetési anyagok beszerzése, rezsiköltség, terembé</w:t>
      </w:r>
      <w:r w:rsidR="00547744">
        <w:rPr>
          <w:rFonts w:ascii="Calibri" w:hAnsi="Calibri" w:cs="Calibri"/>
          <w:sz w:val="22"/>
          <w:szCs w:val="22"/>
        </w:rPr>
        <w:t>r</w:t>
      </w:r>
      <w:r>
        <w:rPr>
          <w:rFonts w:ascii="Calibri" w:hAnsi="Calibri" w:cs="Calibri"/>
          <w:sz w:val="22"/>
          <w:szCs w:val="22"/>
        </w:rPr>
        <w:t>let és eszközbérlet külső helyszínen, PR és marketing szolgáltatás, szállítási költség, szállásköltség, jogdíjak, hangaszer beszerzés, informatikai eszközök beszerzése)</w:t>
      </w:r>
      <w:r w:rsidR="00547744">
        <w:rPr>
          <w:rFonts w:ascii="Calibri" w:hAnsi="Calibri" w:cs="Calibri"/>
          <w:sz w:val="22"/>
          <w:szCs w:val="22"/>
        </w:rPr>
        <w:t xml:space="preserve"> történő bemódosítása. </w:t>
      </w:r>
      <w:r>
        <w:rPr>
          <w:rFonts w:ascii="Calibri" w:hAnsi="Calibri" w:cs="Calibri"/>
          <w:sz w:val="22"/>
          <w:szCs w:val="22"/>
        </w:rPr>
        <w:t xml:space="preserve"> </w:t>
      </w:r>
    </w:p>
    <w:p w14:paraId="736D2081" w14:textId="77777777" w:rsidR="00443EB2" w:rsidRDefault="00443EB2" w:rsidP="00443EB2">
      <w:pPr>
        <w:ind w:left="709"/>
        <w:jc w:val="both"/>
        <w:rPr>
          <w:rFonts w:ascii="Calibri" w:hAnsi="Calibri" w:cs="Calibri"/>
          <w:sz w:val="22"/>
          <w:szCs w:val="22"/>
        </w:rPr>
      </w:pPr>
    </w:p>
    <w:p w14:paraId="3C84E93A" w14:textId="3B477481" w:rsidR="00443EB2" w:rsidRPr="00765D6F" w:rsidRDefault="00443EB2" w:rsidP="00443EB2">
      <w:pPr>
        <w:ind w:left="720"/>
        <w:jc w:val="both"/>
        <w:rPr>
          <w:rFonts w:ascii="Calibri" w:hAnsi="Calibri" w:cs="Calibri"/>
          <w:sz w:val="22"/>
          <w:szCs w:val="22"/>
        </w:rPr>
      </w:pPr>
      <w:r w:rsidRPr="00765D6F">
        <w:rPr>
          <w:rFonts w:ascii="Calibri" w:hAnsi="Calibri" w:cs="Calibri"/>
          <w:sz w:val="22"/>
          <w:szCs w:val="22"/>
        </w:rPr>
        <w:t>A Berz</w:t>
      </w:r>
      <w:r>
        <w:rPr>
          <w:rFonts w:ascii="Calibri" w:hAnsi="Calibri" w:cs="Calibri"/>
          <w:sz w:val="22"/>
          <w:szCs w:val="22"/>
        </w:rPr>
        <w:t>s</w:t>
      </w:r>
      <w:r w:rsidRPr="00765D6F">
        <w:rPr>
          <w:rFonts w:ascii="Calibri" w:hAnsi="Calibri" w:cs="Calibri"/>
          <w:sz w:val="22"/>
          <w:szCs w:val="22"/>
        </w:rPr>
        <w:t xml:space="preserve">enyi Dániel Könyvtár a „Rábavidéki mozgókönyvtári </w:t>
      </w:r>
      <w:r>
        <w:rPr>
          <w:rFonts w:ascii="Calibri" w:hAnsi="Calibri" w:cs="Calibri"/>
          <w:sz w:val="22"/>
          <w:szCs w:val="22"/>
        </w:rPr>
        <w:t>ellátásra”</w:t>
      </w:r>
      <w:r w:rsidR="00A2666A">
        <w:rPr>
          <w:rFonts w:ascii="Calibri" w:hAnsi="Calibri" w:cs="Calibri"/>
          <w:sz w:val="22"/>
          <w:szCs w:val="22"/>
        </w:rPr>
        <w:t xml:space="preserve"> </w:t>
      </w:r>
      <w:r w:rsidRPr="00765D6F">
        <w:rPr>
          <w:rFonts w:ascii="Calibri" w:hAnsi="Calibri" w:cs="Calibri"/>
          <w:sz w:val="22"/>
          <w:szCs w:val="22"/>
        </w:rPr>
        <w:t xml:space="preserve">pályázaton 5.000 eFt-ot nyert el, melyet dokumentum beszerzésre, előadói tiszteletdíjak kifizetésére kíván felhasználni. Ezen esetben is az előirányzatok módosítása a kifizetési céloknak megfelelően megtörtént. </w:t>
      </w:r>
    </w:p>
    <w:p w14:paraId="51F4335B" w14:textId="77777777" w:rsidR="00443EB2" w:rsidRDefault="00443EB2" w:rsidP="00443EB2">
      <w:pPr>
        <w:ind w:left="709"/>
        <w:jc w:val="both"/>
        <w:rPr>
          <w:rFonts w:ascii="Calibri" w:hAnsi="Calibri" w:cs="Calibri"/>
          <w:sz w:val="22"/>
          <w:szCs w:val="22"/>
        </w:rPr>
      </w:pPr>
    </w:p>
    <w:p w14:paraId="2063095F" w14:textId="1FD221F4" w:rsidR="00443EB2" w:rsidRDefault="00443EB2" w:rsidP="00443EB2">
      <w:pPr>
        <w:ind w:left="709"/>
        <w:jc w:val="both"/>
        <w:rPr>
          <w:rFonts w:ascii="Calibri" w:hAnsi="Calibri" w:cs="Calibri"/>
          <w:sz w:val="22"/>
          <w:szCs w:val="22"/>
        </w:rPr>
      </w:pPr>
      <w:r w:rsidRPr="00157DF5">
        <w:rPr>
          <w:rFonts w:ascii="Calibri" w:hAnsi="Calibri" w:cs="Calibri"/>
          <w:sz w:val="22"/>
          <w:szCs w:val="22"/>
        </w:rPr>
        <w:t>A Savaria Múzeum</w:t>
      </w:r>
      <w:r w:rsidR="00A2666A">
        <w:rPr>
          <w:rFonts w:ascii="Calibri" w:hAnsi="Calibri" w:cs="Calibri"/>
          <w:sz w:val="22"/>
          <w:szCs w:val="22"/>
        </w:rPr>
        <w:t xml:space="preserve"> a</w:t>
      </w:r>
      <w:r w:rsidRPr="00157DF5">
        <w:rPr>
          <w:rFonts w:ascii="Calibri" w:hAnsi="Calibri" w:cs="Calibri"/>
          <w:sz w:val="22"/>
          <w:szCs w:val="22"/>
        </w:rPr>
        <w:t xml:space="preserve"> </w:t>
      </w:r>
      <w:r w:rsidR="00A2666A">
        <w:rPr>
          <w:rFonts w:ascii="Calibri" w:hAnsi="Calibri" w:cs="Calibri"/>
          <w:sz w:val="22"/>
          <w:szCs w:val="22"/>
        </w:rPr>
        <w:t>„</w:t>
      </w:r>
      <w:r w:rsidRPr="00157DF5">
        <w:rPr>
          <w:rFonts w:ascii="Calibri" w:hAnsi="Calibri" w:cs="Calibri"/>
          <w:sz w:val="22"/>
          <w:szCs w:val="22"/>
        </w:rPr>
        <w:t>Duna Régió Program</w:t>
      </w:r>
      <w:r w:rsidR="00A2666A">
        <w:rPr>
          <w:rFonts w:ascii="Calibri" w:hAnsi="Calibri" w:cs="Calibri"/>
          <w:sz w:val="22"/>
          <w:szCs w:val="22"/>
        </w:rPr>
        <w:t>”</w:t>
      </w:r>
      <w:r w:rsidRPr="00157DF5">
        <w:rPr>
          <w:rFonts w:ascii="Calibri" w:hAnsi="Calibri" w:cs="Calibri"/>
          <w:sz w:val="22"/>
          <w:szCs w:val="22"/>
        </w:rPr>
        <w:t xml:space="preserve"> című szakmai pályázaton 12.079 eFt működési célú támogatást nyert, amit a pályázati kiírásban foglaltak szerint</w:t>
      </w:r>
      <w:r w:rsidR="008846A9">
        <w:rPr>
          <w:rFonts w:ascii="Calibri" w:hAnsi="Calibri" w:cs="Calibri"/>
          <w:sz w:val="22"/>
          <w:szCs w:val="22"/>
        </w:rPr>
        <w:t xml:space="preserve"> (fogyatékkal élők integrációjával kapcsolatos kiállítások és programok szervezése)</w:t>
      </w:r>
      <w:r w:rsidRPr="00157DF5">
        <w:rPr>
          <w:rFonts w:ascii="Calibri" w:hAnsi="Calibri" w:cs="Calibri"/>
          <w:sz w:val="22"/>
          <w:szCs w:val="22"/>
        </w:rPr>
        <w:t xml:space="preserve"> kell az intézménynek felhasználnia, ennek megfelelően történik mind a bevételi, mind pedig a kiadási előirányzatok beemelése az intézmény költségvetésébe. </w:t>
      </w:r>
    </w:p>
    <w:p w14:paraId="126B36CA" w14:textId="77777777" w:rsidR="00443EB2" w:rsidRDefault="00443EB2" w:rsidP="00443EB2">
      <w:pPr>
        <w:ind w:left="709"/>
        <w:jc w:val="both"/>
        <w:rPr>
          <w:rFonts w:ascii="Calibri" w:hAnsi="Calibri" w:cs="Calibri"/>
          <w:sz w:val="22"/>
          <w:szCs w:val="22"/>
        </w:rPr>
      </w:pPr>
    </w:p>
    <w:p w14:paraId="108B7086" w14:textId="77777777" w:rsidR="001D2071" w:rsidRDefault="001D2071" w:rsidP="00443EB2">
      <w:pPr>
        <w:ind w:left="720"/>
        <w:jc w:val="both"/>
        <w:rPr>
          <w:rFonts w:ascii="Calibri" w:hAnsi="Calibri" w:cs="Calibri"/>
          <w:sz w:val="22"/>
          <w:szCs w:val="22"/>
        </w:rPr>
      </w:pPr>
    </w:p>
    <w:p w14:paraId="55268D90" w14:textId="77777777" w:rsidR="001D2071" w:rsidRDefault="001D2071" w:rsidP="00443EB2">
      <w:pPr>
        <w:ind w:left="720"/>
        <w:jc w:val="both"/>
        <w:rPr>
          <w:rFonts w:ascii="Calibri" w:hAnsi="Calibri" w:cs="Calibri"/>
          <w:sz w:val="22"/>
          <w:szCs w:val="22"/>
        </w:rPr>
      </w:pPr>
    </w:p>
    <w:p w14:paraId="16775E27" w14:textId="77777777" w:rsidR="001D2071" w:rsidRDefault="001D2071" w:rsidP="00443EB2">
      <w:pPr>
        <w:ind w:left="720"/>
        <w:jc w:val="both"/>
        <w:rPr>
          <w:rFonts w:ascii="Calibri" w:hAnsi="Calibri" w:cs="Calibri"/>
          <w:sz w:val="22"/>
          <w:szCs w:val="22"/>
        </w:rPr>
      </w:pPr>
    </w:p>
    <w:p w14:paraId="1BCA68C4" w14:textId="77777777" w:rsidR="001D2071" w:rsidRDefault="001D2071" w:rsidP="00443EB2">
      <w:pPr>
        <w:ind w:left="720"/>
        <w:jc w:val="both"/>
        <w:rPr>
          <w:rFonts w:ascii="Calibri" w:hAnsi="Calibri" w:cs="Calibri"/>
          <w:sz w:val="22"/>
          <w:szCs w:val="22"/>
        </w:rPr>
      </w:pPr>
    </w:p>
    <w:p w14:paraId="123386D9" w14:textId="77777777" w:rsidR="001D2071" w:rsidRDefault="001D2071" w:rsidP="00443EB2">
      <w:pPr>
        <w:ind w:left="720"/>
        <w:jc w:val="both"/>
        <w:rPr>
          <w:rFonts w:ascii="Calibri" w:hAnsi="Calibri" w:cs="Calibri"/>
          <w:sz w:val="22"/>
          <w:szCs w:val="22"/>
        </w:rPr>
      </w:pPr>
    </w:p>
    <w:p w14:paraId="36219C7B" w14:textId="3F21E3F8" w:rsidR="00443EB2" w:rsidRPr="005F44D7" w:rsidRDefault="00443EB2" w:rsidP="00443EB2">
      <w:pPr>
        <w:ind w:left="720"/>
        <w:jc w:val="both"/>
        <w:rPr>
          <w:rFonts w:ascii="Calibri" w:hAnsi="Calibri" w:cs="Calibri"/>
          <w:sz w:val="22"/>
          <w:szCs w:val="22"/>
        </w:rPr>
      </w:pPr>
      <w:r w:rsidRPr="005F44D7">
        <w:rPr>
          <w:rFonts w:ascii="Calibri" w:hAnsi="Calibri" w:cs="Calibri"/>
          <w:sz w:val="22"/>
          <w:szCs w:val="22"/>
        </w:rPr>
        <w:lastRenderedPageBreak/>
        <w:t xml:space="preserve">A Pálos Károly Szociális Szolgáltató Központ és Gyermekjóléti Szolgálat intézményi többletbevétele mindösszesen </w:t>
      </w:r>
      <w:r>
        <w:rPr>
          <w:rFonts w:ascii="Calibri" w:hAnsi="Calibri" w:cs="Calibri"/>
          <w:sz w:val="22"/>
          <w:szCs w:val="22"/>
        </w:rPr>
        <w:t>47.788</w:t>
      </w:r>
      <w:r w:rsidRPr="005F44D7">
        <w:rPr>
          <w:rFonts w:ascii="Calibri" w:hAnsi="Calibri" w:cs="Calibri"/>
          <w:sz w:val="22"/>
          <w:szCs w:val="22"/>
        </w:rPr>
        <w:t xml:space="preserve"> eFt, mely az ÁFA visszatérülésből, a kistérségi települések társulási megállapodás alapján megtérült fizetési kötelezettségeiből</w:t>
      </w:r>
      <w:r>
        <w:rPr>
          <w:rFonts w:ascii="Calibri" w:hAnsi="Calibri" w:cs="Calibri"/>
          <w:sz w:val="22"/>
          <w:szCs w:val="22"/>
        </w:rPr>
        <w:t xml:space="preserve">, a jelzőrendszeres házi segítségnyújtás ellátásához nyújtott támogatásból </w:t>
      </w:r>
      <w:r w:rsidRPr="005F44D7">
        <w:rPr>
          <w:rFonts w:ascii="Calibri" w:hAnsi="Calibri" w:cs="Calibri"/>
          <w:sz w:val="22"/>
          <w:szCs w:val="22"/>
        </w:rPr>
        <w:t xml:space="preserve">származik. </w:t>
      </w:r>
    </w:p>
    <w:p w14:paraId="427CDDE5" w14:textId="0CAD730C" w:rsidR="00443EB2" w:rsidRPr="0035157B" w:rsidRDefault="00443EB2" w:rsidP="00443EB2">
      <w:pPr>
        <w:ind w:left="720"/>
        <w:jc w:val="both"/>
        <w:rPr>
          <w:rFonts w:ascii="Calibri" w:hAnsi="Calibri" w:cs="Calibri"/>
          <w:sz w:val="22"/>
          <w:szCs w:val="22"/>
        </w:rPr>
      </w:pPr>
      <w:r w:rsidRPr="0035157B">
        <w:rPr>
          <w:rFonts w:ascii="Calibri" w:hAnsi="Calibri" w:cs="Calibri"/>
          <w:sz w:val="22"/>
          <w:szCs w:val="22"/>
        </w:rPr>
        <w:t>A többletbevételből egyrészt megemelésre kerültek a személyi juttatások előirányzata, (melyet az 1/2000. (I. 7.) SzCsM rendelet 6.§ (11) bekezdésében foglaltak szerint a munkavállalók részére előírt munkaruha biztosítására fordítanak)</w:t>
      </w:r>
      <w:r w:rsidR="001D2071">
        <w:rPr>
          <w:rFonts w:ascii="Calibri" w:hAnsi="Calibri" w:cs="Calibri"/>
          <w:sz w:val="22"/>
          <w:szCs w:val="22"/>
        </w:rPr>
        <w:t>,</w:t>
      </w:r>
      <w:r w:rsidRPr="0035157B">
        <w:rPr>
          <w:rFonts w:ascii="Calibri" w:hAnsi="Calibri" w:cs="Calibri"/>
          <w:sz w:val="22"/>
          <w:szCs w:val="22"/>
        </w:rPr>
        <w:t xml:space="preserve"> valamint a felhalmozási kiadások előirányzatai</w:t>
      </w:r>
      <w:r w:rsidR="001D2071">
        <w:rPr>
          <w:rFonts w:ascii="Calibri" w:hAnsi="Calibri" w:cs="Calibri"/>
          <w:sz w:val="22"/>
          <w:szCs w:val="22"/>
        </w:rPr>
        <w:t xml:space="preserve"> (beruházás 18.216 eFt, felújítás 14.572 eFt)</w:t>
      </w:r>
      <w:r>
        <w:rPr>
          <w:rFonts w:ascii="Calibri" w:hAnsi="Calibri" w:cs="Calibri"/>
          <w:sz w:val="22"/>
          <w:szCs w:val="22"/>
        </w:rPr>
        <w:t xml:space="preserve"> az alábbiak szerint:</w:t>
      </w:r>
    </w:p>
    <w:p w14:paraId="41608D1B" w14:textId="6BAC5F5A" w:rsidR="00443EB2" w:rsidRPr="0092403F" w:rsidRDefault="001D2071" w:rsidP="00443EB2">
      <w:pPr>
        <w:pStyle w:val="Listaszerbekezds"/>
        <w:numPr>
          <w:ilvl w:val="0"/>
          <w:numId w:val="24"/>
        </w:numPr>
        <w:ind w:left="1276"/>
        <w:jc w:val="both"/>
        <w:rPr>
          <w:rFonts w:ascii="Calibri" w:hAnsi="Calibri" w:cs="Calibri"/>
          <w:sz w:val="22"/>
          <w:szCs w:val="22"/>
        </w:rPr>
      </w:pPr>
      <w:r>
        <w:rPr>
          <w:rFonts w:ascii="Calibri" w:hAnsi="Calibri" w:cs="Calibri"/>
          <w:sz w:val="22"/>
          <w:szCs w:val="22"/>
        </w:rPr>
        <w:t>A</w:t>
      </w:r>
      <w:r w:rsidR="00443EB2" w:rsidRPr="0092403F">
        <w:rPr>
          <w:rFonts w:ascii="Calibri" w:hAnsi="Calibri" w:cs="Calibri"/>
          <w:sz w:val="22"/>
          <w:szCs w:val="22"/>
        </w:rPr>
        <w:t>z intézmény 11 telep</w:t>
      </w:r>
      <w:r>
        <w:rPr>
          <w:rFonts w:ascii="Calibri" w:hAnsi="Calibri" w:cs="Calibri"/>
          <w:sz w:val="22"/>
          <w:szCs w:val="22"/>
        </w:rPr>
        <w:t>h</w:t>
      </w:r>
      <w:r w:rsidR="00443EB2" w:rsidRPr="0092403F">
        <w:rPr>
          <w:rFonts w:ascii="Calibri" w:hAnsi="Calibri" w:cs="Calibri"/>
          <w:sz w:val="22"/>
          <w:szCs w:val="22"/>
        </w:rPr>
        <w:t>elyére az elhasználódott tárgyi eszközök pótlása szakmai egységek igénylése szerint</w:t>
      </w:r>
      <w:r w:rsidR="00B10E6B">
        <w:rPr>
          <w:rFonts w:ascii="Calibri" w:hAnsi="Calibri" w:cs="Calibri"/>
          <w:sz w:val="22"/>
          <w:szCs w:val="22"/>
        </w:rPr>
        <w:t xml:space="preserve"> </w:t>
      </w:r>
      <w:r w:rsidR="00443EB2" w:rsidRPr="0092403F">
        <w:rPr>
          <w:rFonts w:ascii="Calibri" w:hAnsi="Calibri" w:cs="Calibri"/>
          <w:sz w:val="22"/>
          <w:szCs w:val="22"/>
        </w:rPr>
        <w:t>(pl.: Domonkos utcai egység elhasználódott konyhabútorának cseréje), a házi segítségnyújtásban dolgozók részére kerékpárok beszerzése, illetve Családok átmeneti Otthonában a hibás kamera cseréje.</w:t>
      </w:r>
    </w:p>
    <w:p w14:paraId="301214FC" w14:textId="5B0CA7F6" w:rsidR="00443EB2" w:rsidRDefault="001D2071" w:rsidP="00443EB2">
      <w:pPr>
        <w:pStyle w:val="Listaszerbekezds"/>
        <w:numPr>
          <w:ilvl w:val="0"/>
          <w:numId w:val="24"/>
        </w:numPr>
        <w:ind w:left="1276"/>
        <w:jc w:val="both"/>
        <w:rPr>
          <w:rFonts w:ascii="Calibri" w:hAnsi="Calibri" w:cs="Calibri"/>
          <w:sz w:val="22"/>
          <w:szCs w:val="22"/>
        </w:rPr>
      </w:pPr>
      <w:r>
        <w:rPr>
          <w:rFonts w:ascii="Calibri" w:hAnsi="Calibri" w:cs="Calibri"/>
          <w:sz w:val="22"/>
          <w:szCs w:val="22"/>
        </w:rPr>
        <w:t xml:space="preserve">A </w:t>
      </w:r>
      <w:r w:rsidR="00443EB2">
        <w:rPr>
          <w:rFonts w:ascii="Calibri" w:hAnsi="Calibri" w:cs="Calibri"/>
          <w:sz w:val="22"/>
          <w:szCs w:val="22"/>
        </w:rPr>
        <w:t>Széll Kálmán u. 4. szám alatti ingatlannál térkőburkolás és fedett beálló készítése</w:t>
      </w:r>
      <w:r w:rsidR="00B10E6B">
        <w:rPr>
          <w:rFonts w:ascii="Calibri" w:hAnsi="Calibri" w:cs="Calibri"/>
          <w:sz w:val="22"/>
          <w:szCs w:val="22"/>
        </w:rPr>
        <w:t>, elbontott műhely tetőszerkezetének felújítása, cseréje (szakértői vélemény alapján).</w:t>
      </w:r>
    </w:p>
    <w:p w14:paraId="4FD71AAF" w14:textId="3E1D5888" w:rsidR="00443EB2" w:rsidRPr="001D2071" w:rsidRDefault="00443EB2" w:rsidP="001D2071">
      <w:pPr>
        <w:pStyle w:val="Listaszerbekezds"/>
        <w:numPr>
          <w:ilvl w:val="0"/>
          <w:numId w:val="24"/>
        </w:numPr>
        <w:ind w:left="1276"/>
        <w:jc w:val="both"/>
        <w:rPr>
          <w:rFonts w:ascii="Calibri" w:hAnsi="Calibri" w:cs="Calibri"/>
          <w:sz w:val="22"/>
          <w:szCs w:val="22"/>
        </w:rPr>
      </w:pPr>
      <w:r w:rsidRPr="001D2071">
        <w:rPr>
          <w:rFonts w:ascii="Calibri" w:hAnsi="Calibri" w:cs="Calibri"/>
          <w:sz w:val="22"/>
          <w:szCs w:val="22"/>
        </w:rPr>
        <w:t>A Domonkos utca 5.sz. alatti épület fűtési rendszerének korszerűsítése</w:t>
      </w:r>
      <w:r w:rsidR="004B6436">
        <w:rPr>
          <w:rFonts w:ascii="Calibri" w:hAnsi="Calibri" w:cs="Calibri"/>
          <w:sz w:val="22"/>
          <w:szCs w:val="22"/>
        </w:rPr>
        <w:t>.</w:t>
      </w:r>
    </w:p>
    <w:p w14:paraId="2BF365A0" w14:textId="77777777" w:rsidR="00443EB2" w:rsidRPr="0092403F" w:rsidRDefault="00443EB2" w:rsidP="00443EB2">
      <w:pPr>
        <w:pStyle w:val="Listaszerbekezds"/>
        <w:ind w:left="1428"/>
        <w:jc w:val="both"/>
        <w:rPr>
          <w:rFonts w:ascii="Calibri" w:hAnsi="Calibri" w:cs="Calibri"/>
          <w:sz w:val="22"/>
          <w:szCs w:val="22"/>
        </w:rPr>
      </w:pPr>
    </w:p>
    <w:p w14:paraId="7C481824" w14:textId="43D170D4" w:rsidR="00443EB2" w:rsidRPr="00F91E34" w:rsidRDefault="00443EB2" w:rsidP="00443EB2">
      <w:pPr>
        <w:ind w:left="709"/>
        <w:jc w:val="both"/>
        <w:rPr>
          <w:rFonts w:ascii="Calibri" w:hAnsi="Calibri" w:cs="Calibri"/>
          <w:sz w:val="22"/>
          <w:szCs w:val="22"/>
        </w:rPr>
      </w:pPr>
      <w:r w:rsidRPr="00F91E34">
        <w:rPr>
          <w:rFonts w:ascii="Calibri" w:hAnsi="Calibri" w:cs="Calibri"/>
          <w:sz w:val="22"/>
          <w:szCs w:val="22"/>
        </w:rPr>
        <w:t>Az Egészségügyi és Kulturális GESZ működési célú előirányzatának 14.565</w:t>
      </w:r>
      <w:r w:rsidR="001B49DF">
        <w:rPr>
          <w:rFonts w:ascii="Calibri" w:hAnsi="Calibri" w:cs="Calibri"/>
          <w:sz w:val="22"/>
          <w:szCs w:val="22"/>
        </w:rPr>
        <w:t xml:space="preserve"> </w:t>
      </w:r>
      <w:r w:rsidRPr="00F91E34">
        <w:rPr>
          <w:rFonts w:ascii="Calibri" w:hAnsi="Calibri" w:cs="Calibri"/>
          <w:sz w:val="22"/>
          <w:szCs w:val="22"/>
        </w:rPr>
        <w:t>eFt-tal történő módosítását részben az egészségügyi alapellátás háziorvosi praxisaival kapcsolatos NEAK támogatás év közbeni változása, másrészről a betegirányító szolgálatok bértámogatásának év közben történt kedvező alakulása indokolja. A NEAK támogatások szakmai jogszabályok alapján a személyi juttatások és járulékai előirányzatára, valamint a dologi kiadások előirányzatára került módo</w:t>
      </w:r>
      <w:r w:rsidR="001B49DF">
        <w:rPr>
          <w:rFonts w:ascii="Calibri" w:hAnsi="Calibri" w:cs="Calibri"/>
          <w:sz w:val="22"/>
          <w:szCs w:val="22"/>
        </w:rPr>
        <w:t>s</w:t>
      </w:r>
      <w:r w:rsidRPr="00F91E34">
        <w:rPr>
          <w:rFonts w:ascii="Calibri" w:hAnsi="Calibri" w:cs="Calibri"/>
          <w:sz w:val="22"/>
          <w:szCs w:val="22"/>
        </w:rPr>
        <w:t>ításra.</w:t>
      </w:r>
    </w:p>
    <w:p w14:paraId="74D32645" w14:textId="0F1F5E4E" w:rsidR="00443EB2" w:rsidRPr="00F91E34" w:rsidRDefault="00443EB2" w:rsidP="00443EB2">
      <w:pPr>
        <w:ind w:left="709"/>
        <w:jc w:val="both"/>
        <w:rPr>
          <w:rFonts w:ascii="Calibri" w:hAnsi="Calibri" w:cs="Calibri"/>
          <w:sz w:val="22"/>
          <w:szCs w:val="22"/>
        </w:rPr>
      </w:pPr>
      <w:r w:rsidRPr="00F91E34">
        <w:rPr>
          <w:rFonts w:ascii="Calibri" w:hAnsi="Calibri" w:cs="Calibri"/>
          <w:sz w:val="22"/>
          <w:szCs w:val="22"/>
        </w:rPr>
        <w:t>Az intézmény</w:t>
      </w:r>
      <w:r w:rsidR="001B49DF">
        <w:rPr>
          <w:rFonts w:ascii="Calibri" w:hAnsi="Calibri" w:cs="Calibri"/>
          <w:sz w:val="22"/>
          <w:szCs w:val="22"/>
        </w:rPr>
        <w:t xml:space="preserve"> előirányzatok közötti</w:t>
      </w:r>
      <w:r w:rsidRPr="00F91E34">
        <w:rPr>
          <w:rFonts w:ascii="Calibri" w:hAnsi="Calibri" w:cs="Calibri"/>
          <w:sz w:val="22"/>
          <w:szCs w:val="22"/>
        </w:rPr>
        <w:t xml:space="preserve"> átcsoport</w:t>
      </w:r>
      <w:r w:rsidR="001B49DF">
        <w:rPr>
          <w:rFonts w:ascii="Calibri" w:hAnsi="Calibri" w:cs="Calibri"/>
          <w:sz w:val="22"/>
          <w:szCs w:val="22"/>
        </w:rPr>
        <w:t>osítást is végrehajtott</w:t>
      </w:r>
      <w:r w:rsidR="004F1467">
        <w:rPr>
          <w:rFonts w:ascii="Calibri" w:hAnsi="Calibri" w:cs="Calibri"/>
          <w:sz w:val="22"/>
          <w:szCs w:val="22"/>
        </w:rPr>
        <w:t>,</w:t>
      </w:r>
      <w:r w:rsidR="001B49DF">
        <w:rPr>
          <w:rFonts w:ascii="Calibri" w:hAnsi="Calibri" w:cs="Calibri"/>
          <w:sz w:val="22"/>
          <w:szCs w:val="22"/>
        </w:rPr>
        <w:t xml:space="preserve"> mégpedig</w:t>
      </w:r>
      <w:r w:rsidRPr="00F91E34">
        <w:rPr>
          <w:rFonts w:ascii="Calibri" w:hAnsi="Calibri" w:cs="Calibri"/>
          <w:sz w:val="22"/>
          <w:szCs w:val="22"/>
        </w:rPr>
        <w:t xml:space="preserve"> a háziorvosi rendelők akadálymentesítése kapcsán </w:t>
      </w:r>
      <w:r w:rsidR="001B49DF">
        <w:rPr>
          <w:rFonts w:ascii="Calibri" w:hAnsi="Calibri" w:cs="Calibri"/>
          <w:sz w:val="22"/>
          <w:szCs w:val="22"/>
        </w:rPr>
        <w:t>a</w:t>
      </w:r>
      <w:r w:rsidRPr="00F91E34">
        <w:rPr>
          <w:rFonts w:ascii="Calibri" w:hAnsi="Calibri" w:cs="Calibri"/>
          <w:sz w:val="22"/>
          <w:szCs w:val="22"/>
        </w:rPr>
        <w:t xml:space="preserve"> dologi és felújítási kiadások között 5.450 </w:t>
      </w:r>
      <w:r w:rsidR="001B49DF">
        <w:rPr>
          <w:rFonts w:ascii="Calibri" w:hAnsi="Calibri" w:cs="Calibri"/>
          <w:sz w:val="22"/>
          <w:szCs w:val="22"/>
        </w:rPr>
        <w:t xml:space="preserve">eFt </w:t>
      </w:r>
      <w:r w:rsidRPr="00F91E34">
        <w:rPr>
          <w:rFonts w:ascii="Calibri" w:hAnsi="Calibri" w:cs="Calibri"/>
          <w:sz w:val="22"/>
          <w:szCs w:val="22"/>
        </w:rPr>
        <w:t xml:space="preserve">előirányzat módosítás indokolt. </w:t>
      </w:r>
    </w:p>
    <w:p w14:paraId="5678867B" w14:textId="6C7E225B" w:rsidR="004C0B62" w:rsidRDefault="00443EB2" w:rsidP="00443EB2">
      <w:pPr>
        <w:ind w:left="709"/>
        <w:jc w:val="both"/>
        <w:rPr>
          <w:rFonts w:ascii="Calibri" w:hAnsi="Calibri" w:cs="Calibri"/>
          <w:sz w:val="22"/>
          <w:szCs w:val="22"/>
        </w:rPr>
      </w:pPr>
      <w:r w:rsidRPr="00F91E34">
        <w:rPr>
          <w:rFonts w:ascii="Calibri" w:hAnsi="Calibri" w:cs="Calibri"/>
          <w:sz w:val="22"/>
          <w:szCs w:val="22"/>
        </w:rPr>
        <w:t xml:space="preserve">Az egészségügyi szolgáltatások nyújtásához szükséges szakmai minimumfeltelekről szóló 60/2003. (X.20.) ESZCSM rendeletben meghatározott mindennapi működéshez szükséges eszközbeszerzések </w:t>
      </w:r>
      <w:r>
        <w:rPr>
          <w:rFonts w:ascii="Calibri" w:hAnsi="Calibri" w:cs="Calibri"/>
          <w:sz w:val="22"/>
          <w:szCs w:val="22"/>
        </w:rPr>
        <w:t>(csecsemőmérleg</w:t>
      </w:r>
      <w:r w:rsidRPr="00F91E34">
        <w:rPr>
          <w:rFonts w:ascii="Calibri" w:hAnsi="Calibri" w:cs="Calibri"/>
          <w:sz w:val="22"/>
          <w:szCs w:val="22"/>
        </w:rPr>
        <w:t xml:space="preserve">, hallásvizsgáló készülék, számítógép, vizsgálóágy stb.)  </w:t>
      </w:r>
      <w:r w:rsidR="004F1467" w:rsidRPr="00F91E34">
        <w:rPr>
          <w:rFonts w:ascii="Calibri" w:hAnsi="Calibri" w:cs="Calibri"/>
          <w:sz w:val="22"/>
          <w:szCs w:val="22"/>
        </w:rPr>
        <w:t>a tényleges számviteli elszámolásnak megfelelően</w:t>
      </w:r>
      <w:r w:rsidR="004F1467">
        <w:rPr>
          <w:rFonts w:ascii="Calibri" w:hAnsi="Calibri" w:cs="Calibri"/>
          <w:sz w:val="22"/>
          <w:szCs w:val="22"/>
        </w:rPr>
        <w:t xml:space="preserve"> </w:t>
      </w:r>
      <w:r w:rsidR="004F1467" w:rsidRPr="00F91E34">
        <w:rPr>
          <w:rFonts w:ascii="Calibri" w:hAnsi="Calibri" w:cs="Calibri"/>
          <w:sz w:val="22"/>
          <w:szCs w:val="22"/>
        </w:rPr>
        <w:t xml:space="preserve">a dologi kiadásokról a </w:t>
      </w:r>
      <w:r w:rsidR="004F1467">
        <w:rPr>
          <w:rFonts w:ascii="Calibri" w:hAnsi="Calibri" w:cs="Calibri"/>
          <w:sz w:val="22"/>
          <w:szCs w:val="22"/>
        </w:rPr>
        <w:t>beruházá</w:t>
      </w:r>
      <w:r w:rsidR="004F1467" w:rsidRPr="00F91E34">
        <w:rPr>
          <w:rFonts w:ascii="Calibri" w:hAnsi="Calibri" w:cs="Calibri"/>
          <w:sz w:val="22"/>
          <w:szCs w:val="22"/>
        </w:rPr>
        <w:t xml:space="preserve">si </w:t>
      </w:r>
      <w:r w:rsidR="004F1467">
        <w:rPr>
          <w:rFonts w:ascii="Calibri" w:hAnsi="Calibri" w:cs="Calibri"/>
          <w:sz w:val="22"/>
          <w:szCs w:val="22"/>
        </w:rPr>
        <w:t>kiadásokra történt átcsoportosítással kerültek rendezésre.</w:t>
      </w:r>
    </w:p>
    <w:p w14:paraId="5DF1353B" w14:textId="77777777" w:rsidR="00443EB2" w:rsidRPr="00F91E34" w:rsidRDefault="00443EB2" w:rsidP="00443EB2">
      <w:pPr>
        <w:ind w:left="709"/>
        <w:jc w:val="both"/>
        <w:rPr>
          <w:rFonts w:ascii="Calibri" w:hAnsi="Calibri" w:cs="Calibri"/>
          <w:sz w:val="22"/>
          <w:szCs w:val="22"/>
        </w:rPr>
      </w:pPr>
    </w:p>
    <w:p w14:paraId="0993F01A" w14:textId="6FDE65EE" w:rsidR="00443EB2" w:rsidRPr="001E32FE" w:rsidRDefault="00443EB2" w:rsidP="00443EB2">
      <w:pPr>
        <w:ind w:left="709"/>
        <w:jc w:val="both"/>
        <w:rPr>
          <w:rFonts w:ascii="Calibri" w:hAnsi="Calibri" w:cs="Calibri"/>
          <w:sz w:val="22"/>
          <w:szCs w:val="22"/>
        </w:rPr>
      </w:pPr>
      <w:r w:rsidRPr="001E32FE">
        <w:rPr>
          <w:rFonts w:ascii="Calibri" w:hAnsi="Calibri" w:cs="Calibri"/>
          <w:sz w:val="22"/>
          <w:szCs w:val="22"/>
        </w:rPr>
        <w:t>Az Egyesített Bölcsődei Intézmény 7.633 e Ft összegű többletbevételt realizált, ami a munkaerőpiacra újonnan belépők (20 fő) után szociális hozzájárulási adó kedvezménye, illetve a nyári diákmunka bértámogatása. Ezen összeggel a személyi juttatások és a dologi kiadások előirányzata</w:t>
      </w:r>
      <w:r w:rsidR="00EB3B73">
        <w:rPr>
          <w:rFonts w:ascii="Calibri" w:hAnsi="Calibri" w:cs="Calibri"/>
          <w:sz w:val="22"/>
          <w:szCs w:val="22"/>
        </w:rPr>
        <w:t>i</w:t>
      </w:r>
      <w:r w:rsidRPr="001E32FE">
        <w:rPr>
          <w:rFonts w:ascii="Calibri" w:hAnsi="Calibri" w:cs="Calibri"/>
          <w:sz w:val="22"/>
          <w:szCs w:val="22"/>
        </w:rPr>
        <w:t xml:space="preserve"> került</w:t>
      </w:r>
      <w:r w:rsidR="00EB3B73">
        <w:rPr>
          <w:rFonts w:ascii="Calibri" w:hAnsi="Calibri" w:cs="Calibri"/>
          <w:sz w:val="22"/>
          <w:szCs w:val="22"/>
        </w:rPr>
        <w:t>ek</w:t>
      </w:r>
      <w:r w:rsidRPr="001E32FE">
        <w:rPr>
          <w:rFonts w:ascii="Calibri" w:hAnsi="Calibri" w:cs="Calibri"/>
          <w:sz w:val="22"/>
          <w:szCs w:val="22"/>
        </w:rPr>
        <w:t xml:space="preserve"> megemelésre (tanulók munkaruha költségtérítésére, orvosi vizsgálat költségeire, szakmai anyag beszerzésre, stb.).</w:t>
      </w:r>
    </w:p>
    <w:p w14:paraId="0B6EDCDB" w14:textId="77777777" w:rsidR="00443EB2" w:rsidRPr="00F40A0F" w:rsidRDefault="00443EB2" w:rsidP="00443EB2">
      <w:pPr>
        <w:ind w:left="709"/>
        <w:jc w:val="both"/>
        <w:rPr>
          <w:rFonts w:ascii="Calibri" w:hAnsi="Calibri" w:cs="Calibri"/>
          <w:sz w:val="22"/>
          <w:szCs w:val="22"/>
          <w:highlight w:val="yellow"/>
        </w:rPr>
      </w:pPr>
    </w:p>
    <w:p w14:paraId="7B8642FE" w14:textId="0DC92D97" w:rsidR="007B6778" w:rsidRPr="002E1FB2" w:rsidRDefault="00443EB2" w:rsidP="00443EB2">
      <w:pPr>
        <w:ind w:left="709"/>
        <w:jc w:val="both"/>
        <w:rPr>
          <w:rFonts w:ascii="Calibri" w:hAnsi="Calibri" w:cs="Calibri"/>
          <w:sz w:val="22"/>
          <w:szCs w:val="22"/>
        </w:rPr>
      </w:pPr>
      <w:r w:rsidRPr="002E1FB2">
        <w:rPr>
          <w:rFonts w:ascii="Calibri" w:hAnsi="Calibri" w:cs="Calibri"/>
          <w:sz w:val="22"/>
          <w:szCs w:val="22"/>
        </w:rPr>
        <w:t>A Polgármesteri Hivatal</w:t>
      </w:r>
      <w:r w:rsidR="007B6778" w:rsidRPr="002E1FB2">
        <w:rPr>
          <w:rFonts w:ascii="Calibri" w:hAnsi="Calibri" w:cs="Calibri"/>
          <w:sz w:val="22"/>
          <w:szCs w:val="22"/>
        </w:rPr>
        <w:t xml:space="preserve"> „Intézményi működési bevétel”-ként összesen 2.459 eFt összegű többletbevételt realizált (ebrendészeti szolgáltatáshoz</w:t>
      </w:r>
      <w:r w:rsidR="00B869DF" w:rsidRPr="002E1FB2">
        <w:rPr>
          <w:rFonts w:ascii="Calibri" w:hAnsi="Calibri" w:cs="Calibri"/>
          <w:sz w:val="22"/>
          <w:szCs w:val="22"/>
        </w:rPr>
        <w:t xml:space="preserve">, </w:t>
      </w:r>
      <w:r w:rsidR="007B6778" w:rsidRPr="002E1FB2">
        <w:rPr>
          <w:rFonts w:ascii="Calibri" w:hAnsi="Calibri" w:cs="Calibri"/>
          <w:sz w:val="22"/>
          <w:szCs w:val="22"/>
        </w:rPr>
        <w:t>gépjármű bérbeadás</w:t>
      </w:r>
      <w:r w:rsidR="00B869DF" w:rsidRPr="002E1FB2">
        <w:rPr>
          <w:rFonts w:ascii="Calibri" w:hAnsi="Calibri" w:cs="Calibri"/>
          <w:sz w:val="22"/>
          <w:szCs w:val="22"/>
        </w:rPr>
        <w:t>hoz és</w:t>
      </w:r>
      <w:r w:rsidR="007B6778" w:rsidRPr="002E1FB2">
        <w:rPr>
          <w:rFonts w:ascii="Calibri" w:hAnsi="Calibri" w:cs="Calibri"/>
          <w:sz w:val="22"/>
          <w:szCs w:val="22"/>
        </w:rPr>
        <w:t xml:space="preserve"> tetőantenna bérlet</w:t>
      </w:r>
      <w:r w:rsidR="00B869DF" w:rsidRPr="002E1FB2">
        <w:rPr>
          <w:rFonts w:ascii="Calibri" w:hAnsi="Calibri" w:cs="Calibri"/>
          <w:sz w:val="22"/>
          <w:szCs w:val="22"/>
        </w:rPr>
        <w:t>éhez kapcsolódóan</w:t>
      </w:r>
      <w:r w:rsidR="007B6778" w:rsidRPr="002E1FB2">
        <w:rPr>
          <w:rFonts w:ascii="Calibri" w:hAnsi="Calibri" w:cs="Calibri"/>
          <w:sz w:val="22"/>
          <w:szCs w:val="22"/>
        </w:rPr>
        <w:t xml:space="preserve">). A többletbevételek </w:t>
      </w:r>
      <w:r w:rsidR="00B869DF" w:rsidRPr="002E1FB2">
        <w:rPr>
          <w:rFonts w:ascii="Calibri" w:hAnsi="Calibri" w:cs="Calibri"/>
          <w:sz w:val="22"/>
          <w:szCs w:val="22"/>
        </w:rPr>
        <w:t>a dologi kiadások</w:t>
      </w:r>
      <w:r w:rsidR="00DB526E" w:rsidRPr="002E1FB2">
        <w:rPr>
          <w:rFonts w:ascii="Calibri" w:hAnsi="Calibri" w:cs="Calibri"/>
          <w:sz w:val="22"/>
          <w:szCs w:val="22"/>
        </w:rPr>
        <w:t>ra kerültek beemelésre</w:t>
      </w:r>
      <w:r w:rsidR="002E1FB2" w:rsidRPr="002E1FB2">
        <w:rPr>
          <w:rFonts w:ascii="Calibri" w:hAnsi="Calibri" w:cs="Calibri"/>
          <w:sz w:val="22"/>
          <w:szCs w:val="22"/>
        </w:rPr>
        <w:t>.</w:t>
      </w:r>
    </w:p>
    <w:p w14:paraId="371B7502" w14:textId="18D894A0" w:rsidR="00443EB2" w:rsidRDefault="007B6778" w:rsidP="00443EB2">
      <w:pPr>
        <w:ind w:left="709"/>
        <w:jc w:val="both"/>
        <w:rPr>
          <w:rFonts w:ascii="Calibri" w:hAnsi="Calibri" w:cs="Calibri"/>
          <w:sz w:val="22"/>
          <w:szCs w:val="22"/>
        </w:rPr>
      </w:pPr>
      <w:r w:rsidRPr="002E1FB2">
        <w:rPr>
          <w:rFonts w:ascii="Calibri" w:hAnsi="Calibri" w:cs="Calibri"/>
          <w:sz w:val="22"/>
          <w:szCs w:val="22"/>
        </w:rPr>
        <w:t xml:space="preserve">A </w:t>
      </w:r>
      <w:r w:rsidR="00443EB2" w:rsidRPr="002E1FB2">
        <w:rPr>
          <w:rFonts w:ascii="Calibri" w:hAnsi="Calibri" w:cs="Calibri"/>
          <w:sz w:val="22"/>
          <w:szCs w:val="22"/>
        </w:rPr>
        <w:t xml:space="preserve">„Működési célú támogatások államháztartáson belülről” bevételi előirányzat összege </w:t>
      </w:r>
      <w:r w:rsidRPr="002E1FB2">
        <w:rPr>
          <w:rFonts w:ascii="Calibri" w:hAnsi="Calibri" w:cs="Calibri"/>
          <w:sz w:val="22"/>
          <w:szCs w:val="22"/>
        </w:rPr>
        <w:t>összesen 3.179</w:t>
      </w:r>
      <w:r w:rsidR="00443EB2" w:rsidRPr="002E1FB2">
        <w:rPr>
          <w:rFonts w:ascii="Calibri" w:hAnsi="Calibri" w:cs="Calibri"/>
          <w:sz w:val="22"/>
          <w:szCs w:val="22"/>
        </w:rPr>
        <w:t xml:space="preserve"> eFt-al növekedett, </w:t>
      </w:r>
      <w:r w:rsidRPr="002E1FB2">
        <w:rPr>
          <w:rFonts w:ascii="Calibri" w:hAnsi="Calibri" w:cs="Calibri"/>
          <w:sz w:val="22"/>
          <w:szCs w:val="22"/>
        </w:rPr>
        <w:t>egyrészt</w:t>
      </w:r>
      <w:r w:rsidR="00443EB2" w:rsidRPr="002E1FB2">
        <w:rPr>
          <w:rFonts w:ascii="Calibri" w:hAnsi="Calibri" w:cs="Calibri"/>
          <w:sz w:val="22"/>
          <w:szCs w:val="22"/>
        </w:rPr>
        <w:t xml:space="preserve"> a mezőőri szolgálat működéséhez kapott támogatás összegé</w:t>
      </w:r>
      <w:r w:rsidRPr="002E1FB2">
        <w:rPr>
          <w:rFonts w:ascii="Calibri" w:hAnsi="Calibri" w:cs="Calibri"/>
          <w:sz w:val="22"/>
          <w:szCs w:val="22"/>
        </w:rPr>
        <w:t>vel, másrészt a nyári diákmunka</w:t>
      </w:r>
      <w:r w:rsidRPr="002D6B86">
        <w:rPr>
          <w:rFonts w:ascii="Calibri" w:hAnsi="Calibri" w:cs="Calibri"/>
          <w:sz w:val="22"/>
          <w:szCs w:val="22"/>
        </w:rPr>
        <w:t xml:space="preserve"> bérmegtérítésének összegével növekedett. A</w:t>
      </w:r>
      <w:r w:rsidR="00443EB2" w:rsidRPr="002D6B86">
        <w:rPr>
          <w:rFonts w:ascii="Calibri" w:hAnsi="Calibri" w:cs="Calibri"/>
          <w:sz w:val="22"/>
          <w:szCs w:val="22"/>
        </w:rPr>
        <w:t xml:space="preserve"> bevételi többlet a támogatás</w:t>
      </w:r>
      <w:r w:rsidRPr="002D6B86">
        <w:rPr>
          <w:rFonts w:ascii="Calibri" w:hAnsi="Calibri" w:cs="Calibri"/>
          <w:sz w:val="22"/>
          <w:szCs w:val="22"/>
        </w:rPr>
        <w:t>ok</w:t>
      </w:r>
      <w:r w:rsidR="00443EB2" w:rsidRPr="002D6B86">
        <w:rPr>
          <w:rFonts w:ascii="Calibri" w:hAnsi="Calibri" w:cs="Calibri"/>
          <w:sz w:val="22"/>
          <w:szCs w:val="22"/>
        </w:rPr>
        <w:t xml:space="preserve"> elszámolási rendjének megfelelő kiadási előirányzatokra került beemelésre.</w:t>
      </w:r>
      <w:r w:rsidR="00443EB2" w:rsidRPr="00DB2BF4">
        <w:rPr>
          <w:rFonts w:ascii="Calibri" w:hAnsi="Calibri" w:cs="Calibri"/>
          <w:sz w:val="22"/>
          <w:szCs w:val="22"/>
        </w:rPr>
        <w:t xml:space="preserve">  </w:t>
      </w:r>
    </w:p>
    <w:p w14:paraId="6D75817F" w14:textId="125C7832" w:rsidR="00B869DF" w:rsidRPr="00DB2BF4" w:rsidRDefault="00B869DF" w:rsidP="00443EB2">
      <w:pPr>
        <w:ind w:left="709"/>
        <w:jc w:val="both"/>
        <w:rPr>
          <w:rFonts w:ascii="Calibri" w:hAnsi="Calibri" w:cs="Calibri"/>
          <w:sz w:val="22"/>
          <w:szCs w:val="22"/>
        </w:rPr>
      </w:pPr>
      <w:r>
        <w:rPr>
          <w:rFonts w:ascii="Calibri" w:hAnsi="Calibri" w:cs="Calibri"/>
          <w:sz w:val="22"/>
          <w:szCs w:val="22"/>
        </w:rPr>
        <w:t xml:space="preserve">A beruházási kiadások előirányzat – az elért dologi kiadások megtakarítása mellett - 12.500 eFt-al került megemelésre, mely a hivatali gépjármű beszerzéséhez nyújt fedezetet. </w:t>
      </w:r>
    </w:p>
    <w:p w14:paraId="33649117" w14:textId="77777777" w:rsidR="00443EB2" w:rsidRDefault="00443EB2" w:rsidP="00443EB2">
      <w:pPr>
        <w:jc w:val="both"/>
        <w:rPr>
          <w:rFonts w:ascii="Calibri" w:hAnsi="Calibri" w:cs="Calibri"/>
          <w:sz w:val="22"/>
          <w:szCs w:val="22"/>
        </w:rPr>
      </w:pPr>
    </w:p>
    <w:p w14:paraId="63C8B9DF" w14:textId="77777777" w:rsidR="00B869DF" w:rsidRPr="001916FD" w:rsidRDefault="00B869DF" w:rsidP="00FC4CAB">
      <w:pPr>
        <w:jc w:val="both"/>
        <w:rPr>
          <w:rFonts w:ascii="Calibri" w:hAnsi="Calibri" w:cs="Calibri"/>
          <w:sz w:val="22"/>
          <w:szCs w:val="22"/>
        </w:rPr>
      </w:pPr>
    </w:p>
    <w:p w14:paraId="77A91CA7" w14:textId="77777777" w:rsidR="00500B0C" w:rsidRPr="00F14DC1" w:rsidRDefault="00500B0C" w:rsidP="009003C4">
      <w:pPr>
        <w:ind w:left="426" w:hanging="284"/>
        <w:jc w:val="both"/>
        <w:rPr>
          <w:rFonts w:ascii="Calibri" w:hAnsi="Calibri" w:cs="Calibri"/>
          <w:b/>
          <w:bCs/>
          <w:i/>
          <w:iCs/>
          <w:sz w:val="22"/>
          <w:szCs w:val="22"/>
          <w:u w:val="single"/>
        </w:rPr>
      </w:pPr>
      <w:r w:rsidRPr="00F14DC1">
        <w:rPr>
          <w:rFonts w:ascii="Calibri" w:hAnsi="Calibri" w:cs="Calibri"/>
          <w:sz w:val="22"/>
          <w:szCs w:val="22"/>
        </w:rPr>
        <w:t xml:space="preserve">     </w:t>
      </w:r>
      <w:r w:rsidRPr="009003C4">
        <w:rPr>
          <w:rFonts w:ascii="Calibri" w:hAnsi="Calibri" w:cs="Calibri"/>
          <w:b/>
          <w:bCs/>
          <w:i/>
          <w:iCs/>
          <w:sz w:val="22"/>
          <w:szCs w:val="22"/>
        </w:rPr>
        <w:t>b)</w:t>
      </w:r>
      <w:r w:rsidR="00BF5DCF" w:rsidRPr="009003C4">
        <w:rPr>
          <w:rFonts w:ascii="Calibri" w:hAnsi="Calibri" w:cs="Calibri"/>
          <w:b/>
          <w:bCs/>
          <w:i/>
          <w:iCs/>
          <w:sz w:val="22"/>
          <w:szCs w:val="22"/>
        </w:rPr>
        <w:t xml:space="preserve"> </w:t>
      </w:r>
      <w:r w:rsidR="009003C4" w:rsidRPr="009003C4">
        <w:rPr>
          <w:rFonts w:ascii="Calibri" w:hAnsi="Calibri" w:cs="Calibri"/>
          <w:b/>
          <w:bCs/>
          <w:i/>
          <w:iCs/>
          <w:sz w:val="22"/>
          <w:szCs w:val="22"/>
        </w:rPr>
        <w:t xml:space="preserve"> </w:t>
      </w:r>
      <w:r w:rsidRPr="00F14DC1">
        <w:rPr>
          <w:rFonts w:ascii="Calibri" w:hAnsi="Calibri" w:cs="Calibri"/>
          <w:b/>
          <w:bCs/>
          <w:i/>
          <w:iCs/>
          <w:sz w:val="22"/>
          <w:szCs w:val="22"/>
          <w:u w:val="single"/>
        </w:rPr>
        <w:t>egyenleg</w:t>
      </w:r>
      <w:r w:rsidRPr="00B62487">
        <w:rPr>
          <w:rFonts w:ascii="Calibri" w:hAnsi="Calibri" w:cs="Calibri"/>
          <w:b/>
          <w:bCs/>
          <w:i/>
          <w:iCs/>
          <w:sz w:val="22"/>
          <w:szCs w:val="22"/>
          <w:u w:val="single"/>
        </w:rPr>
        <w:t>: 0</w:t>
      </w:r>
      <w:r w:rsidRPr="00F14DC1">
        <w:rPr>
          <w:rFonts w:ascii="Calibri" w:hAnsi="Calibri" w:cs="Calibri"/>
          <w:b/>
          <w:bCs/>
          <w:i/>
          <w:iCs/>
          <w:color w:val="FF0000"/>
          <w:sz w:val="22"/>
          <w:szCs w:val="22"/>
          <w:u w:val="single"/>
        </w:rPr>
        <w:t xml:space="preserve"> </w:t>
      </w:r>
      <w:r w:rsidRPr="00F14DC1">
        <w:rPr>
          <w:rFonts w:ascii="Calibri" w:hAnsi="Calibri" w:cs="Calibri"/>
          <w:b/>
          <w:bCs/>
          <w:i/>
          <w:iCs/>
          <w:sz w:val="22"/>
          <w:szCs w:val="22"/>
          <w:u w:val="single"/>
        </w:rPr>
        <w:t>eFt</w:t>
      </w:r>
    </w:p>
    <w:p w14:paraId="2DBD2935" w14:textId="77777777" w:rsidR="00500B0C" w:rsidRPr="00F14DC1" w:rsidRDefault="00500B0C" w:rsidP="00500B0C">
      <w:pPr>
        <w:jc w:val="both"/>
        <w:rPr>
          <w:rFonts w:ascii="Calibri" w:hAnsi="Calibri" w:cs="Calibri"/>
          <w:sz w:val="22"/>
          <w:szCs w:val="22"/>
        </w:rPr>
      </w:pPr>
    </w:p>
    <w:p w14:paraId="58429071" w14:textId="38A46133" w:rsidR="00F40A0F" w:rsidRDefault="00500B0C" w:rsidP="00B26409">
      <w:pPr>
        <w:numPr>
          <w:ilvl w:val="0"/>
          <w:numId w:val="5"/>
        </w:numPr>
        <w:ind w:left="0"/>
        <w:jc w:val="both"/>
        <w:rPr>
          <w:rFonts w:ascii="Calibri" w:hAnsi="Calibri" w:cs="Calibri"/>
          <w:sz w:val="22"/>
          <w:szCs w:val="22"/>
        </w:rPr>
      </w:pPr>
      <w:r w:rsidRPr="00B26409">
        <w:rPr>
          <w:rFonts w:ascii="Calibri" w:hAnsi="Calibri" w:cs="Calibri"/>
          <w:b/>
          <w:i/>
          <w:sz w:val="22"/>
          <w:szCs w:val="22"/>
        </w:rPr>
        <w:lastRenderedPageBreak/>
        <w:t>A</w:t>
      </w:r>
      <w:r w:rsidRPr="00B26409">
        <w:rPr>
          <w:rFonts w:ascii="Calibri" w:hAnsi="Calibri" w:cs="Calibri"/>
          <w:sz w:val="22"/>
          <w:szCs w:val="22"/>
        </w:rPr>
        <w:t xml:space="preserve"> </w:t>
      </w:r>
      <w:r w:rsidRPr="00B26409">
        <w:rPr>
          <w:rFonts w:ascii="Calibri" w:hAnsi="Calibri" w:cs="Calibri"/>
          <w:b/>
          <w:i/>
          <w:sz w:val="22"/>
          <w:szCs w:val="22"/>
          <w:u w:val="single"/>
        </w:rPr>
        <w:t xml:space="preserve">működési </w:t>
      </w:r>
      <w:r w:rsidR="00F40A0F">
        <w:rPr>
          <w:rFonts w:ascii="Calibri" w:hAnsi="Calibri" w:cs="Calibri"/>
          <w:b/>
          <w:i/>
          <w:sz w:val="22"/>
          <w:szCs w:val="22"/>
          <w:u w:val="single"/>
        </w:rPr>
        <w:t xml:space="preserve">és felhalmozási </w:t>
      </w:r>
      <w:r w:rsidRPr="00B26409">
        <w:rPr>
          <w:rFonts w:ascii="Calibri" w:hAnsi="Calibri" w:cs="Calibri"/>
          <w:b/>
          <w:i/>
          <w:sz w:val="22"/>
          <w:szCs w:val="22"/>
          <w:u w:val="single"/>
        </w:rPr>
        <w:t>célú államháztartáson belülről kapott támogatások, és a működési és felhalmozási célú átvett pénzeszközök bevételei</w:t>
      </w:r>
      <w:r w:rsidRPr="00B26409">
        <w:rPr>
          <w:rFonts w:ascii="Calibri" w:hAnsi="Calibri" w:cs="Calibri"/>
          <w:sz w:val="22"/>
          <w:szCs w:val="22"/>
        </w:rPr>
        <w:t xml:space="preserve"> </w:t>
      </w:r>
      <w:r w:rsidRPr="001A448A">
        <w:rPr>
          <w:rFonts w:ascii="Calibri" w:hAnsi="Calibri" w:cs="Calibri"/>
          <w:sz w:val="22"/>
          <w:szCs w:val="22"/>
        </w:rPr>
        <w:t xml:space="preserve">jellegéből adódóan meghatározott célú kiadások teljesítésének fedezetéül szolgálnak. A működési célú </w:t>
      </w:r>
      <w:r w:rsidR="00BF642D">
        <w:rPr>
          <w:rFonts w:ascii="Calibri" w:hAnsi="Calibri" w:cs="Calibri"/>
          <w:sz w:val="22"/>
          <w:szCs w:val="22"/>
        </w:rPr>
        <w:t xml:space="preserve">bevételi </w:t>
      </w:r>
      <w:r w:rsidRPr="00534967">
        <w:rPr>
          <w:rFonts w:ascii="Calibri" w:hAnsi="Calibri" w:cs="Calibri"/>
          <w:sz w:val="22"/>
          <w:szCs w:val="22"/>
        </w:rPr>
        <w:t xml:space="preserve">előirányzat </w:t>
      </w:r>
      <w:r w:rsidR="00ED3A5B" w:rsidRPr="00534967">
        <w:rPr>
          <w:rFonts w:ascii="Calibri" w:hAnsi="Calibri" w:cs="Calibri"/>
          <w:sz w:val="22"/>
          <w:szCs w:val="22"/>
        </w:rPr>
        <w:t>4.000</w:t>
      </w:r>
      <w:r w:rsidRPr="00534967">
        <w:rPr>
          <w:rFonts w:ascii="Calibri" w:hAnsi="Calibri" w:cs="Calibri"/>
          <w:color w:val="FF0000"/>
          <w:sz w:val="22"/>
          <w:szCs w:val="22"/>
        </w:rPr>
        <w:t xml:space="preserve"> </w:t>
      </w:r>
      <w:r w:rsidRPr="00534967">
        <w:rPr>
          <w:rFonts w:ascii="Calibri" w:hAnsi="Calibri" w:cs="Calibri"/>
          <w:sz w:val="22"/>
          <w:szCs w:val="22"/>
        </w:rPr>
        <w:t>eFt összeggel</w:t>
      </w:r>
      <w:r w:rsidR="00ED3A5B">
        <w:rPr>
          <w:rFonts w:ascii="Calibri" w:hAnsi="Calibri" w:cs="Calibri"/>
          <w:sz w:val="22"/>
          <w:szCs w:val="22"/>
        </w:rPr>
        <w:t xml:space="preserve">, a felhalmozási célú bevételi előirányzat pedig 800 eFt összeggel </w:t>
      </w:r>
      <w:r w:rsidRPr="001A448A">
        <w:rPr>
          <w:rFonts w:ascii="Calibri" w:hAnsi="Calibri" w:cs="Calibri"/>
          <w:sz w:val="22"/>
          <w:szCs w:val="22"/>
        </w:rPr>
        <w:t>növekedett</w:t>
      </w:r>
      <w:r w:rsidR="005D1029">
        <w:rPr>
          <w:rFonts w:ascii="Calibri" w:hAnsi="Calibri" w:cs="Calibri"/>
          <w:sz w:val="22"/>
          <w:szCs w:val="22"/>
        </w:rPr>
        <w:t>:</w:t>
      </w:r>
      <w:r w:rsidR="003972EF" w:rsidRPr="001A448A">
        <w:rPr>
          <w:rFonts w:ascii="Calibri" w:hAnsi="Calibri" w:cs="Calibri"/>
          <w:sz w:val="22"/>
          <w:szCs w:val="22"/>
        </w:rPr>
        <w:t xml:space="preserve"> </w:t>
      </w:r>
    </w:p>
    <w:p w14:paraId="73178FD1" w14:textId="7CBECD5A" w:rsidR="005D1029" w:rsidRDefault="00534967" w:rsidP="00F40A0F">
      <w:pPr>
        <w:pStyle w:val="Listaszerbekezds"/>
        <w:numPr>
          <w:ilvl w:val="0"/>
          <w:numId w:val="20"/>
        </w:numPr>
        <w:jc w:val="both"/>
        <w:rPr>
          <w:rFonts w:ascii="Calibri" w:hAnsi="Calibri" w:cs="Calibri"/>
          <w:sz w:val="22"/>
          <w:szCs w:val="22"/>
        </w:rPr>
      </w:pPr>
      <w:r>
        <w:rPr>
          <w:rFonts w:ascii="Calibri" w:hAnsi="Calibri" w:cs="Calibri"/>
          <w:sz w:val="22"/>
          <w:szCs w:val="22"/>
        </w:rPr>
        <w:t>A</w:t>
      </w:r>
      <w:r w:rsidR="001A448A" w:rsidRPr="00F40A0F">
        <w:rPr>
          <w:rFonts w:ascii="Calibri" w:hAnsi="Calibri" w:cs="Calibri"/>
          <w:sz w:val="22"/>
          <w:szCs w:val="22"/>
        </w:rPr>
        <w:t>z iSi Automotive Hungary Kft. támogatás</w:t>
      </w:r>
      <w:r w:rsidR="005D1029">
        <w:rPr>
          <w:rFonts w:ascii="Calibri" w:hAnsi="Calibri" w:cs="Calibri"/>
          <w:sz w:val="22"/>
          <w:szCs w:val="22"/>
        </w:rPr>
        <w:t>a 839 eFt - a „Savaria Karnevál megrendezése, kulturális rendezvények, fesztíválok megrendezése” előirányzat került megemelésre</w:t>
      </w:r>
      <w:r>
        <w:rPr>
          <w:rFonts w:ascii="Calibri" w:hAnsi="Calibri" w:cs="Calibri"/>
          <w:sz w:val="22"/>
          <w:szCs w:val="22"/>
        </w:rPr>
        <w:t>.</w:t>
      </w:r>
    </w:p>
    <w:p w14:paraId="1F6D0E3D" w14:textId="01F6A18F" w:rsidR="005D1029" w:rsidRDefault="00534967" w:rsidP="00F40A0F">
      <w:pPr>
        <w:pStyle w:val="Listaszerbekezds"/>
        <w:numPr>
          <w:ilvl w:val="0"/>
          <w:numId w:val="20"/>
        </w:numPr>
        <w:jc w:val="both"/>
        <w:rPr>
          <w:rFonts w:ascii="Calibri" w:hAnsi="Calibri" w:cs="Calibri"/>
          <w:sz w:val="22"/>
          <w:szCs w:val="22"/>
        </w:rPr>
      </w:pPr>
      <w:r>
        <w:rPr>
          <w:rFonts w:ascii="Calibri" w:hAnsi="Calibri" w:cs="Calibri"/>
          <w:sz w:val="22"/>
          <w:szCs w:val="22"/>
        </w:rPr>
        <w:t>A</w:t>
      </w:r>
      <w:r w:rsidR="005D1029">
        <w:rPr>
          <w:rFonts w:ascii="Calibri" w:hAnsi="Calibri" w:cs="Calibri"/>
          <w:sz w:val="22"/>
          <w:szCs w:val="22"/>
        </w:rPr>
        <w:t xml:space="preserve"> Bloomsday fesztivál támogatása 161 eFt – az „egyéb kiadások (Bloomsday fesztivál költségei) előirányzat került megemelésre</w:t>
      </w:r>
      <w:r>
        <w:rPr>
          <w:rFonts w:ascii="Calibri" w:hAnsi="Calibri" w:cs="Calibri"/>
          <w:sz w:val="22"/>
          <w:szCs w:val="22"/>
        </w:rPr>
        <w:t>.</w:t>
      </w:r>
    </w:p>
    <w:p w14:paraId="5594CE1D" w14:textId="433B8C2E" w:rsidR="005D1029" w:rsidRDefault="00534967" w:rsidP="00F40A0F">
      <w:pPr>
        <w:pStyle w:val="Listaszerbekezds"/>
        <w:numPr>
          <w:ilvl w:val="0"/>
          <w:numId w:val="20"/>
        </w:numPr>
        <w:jc w:val="both"/>
        <w:rPr>
          <w:rFonts w:ascii="Calibri" w:hAnsi="Calibri" w:cs="Calibri"/>
          <w:sz w:val="22"/>
          <w:szCs w:val="22"/>
        </w:rPr>
      </w:pPr>
      <w:r>
        <w:rPr>
          <w:rFonts w:ascii="Calibri" w:hAnsi="Calibri" w:cs="Calibri"/>
          <w:sz w:val="22"/>
          <w:szCs w:val="22"/>
        </w:rPr>
        <w:t>A</w:t>
      </w:r>
      <w:r w:rsidR="005D1029">
        <w:rPr>
          <w:rFonts w:ascii="Calibri" w:hAnsi="Calibri" w:cs="Calibri"/>
          <w:sz w:val="22"/>
          <w:szCs w:val="22"/>
        </w:rPr>
        <w:t xml:space="preserve">z Alpok Energia Kereskedelmi és Szolgáltató Kft. támogatása 3.000 eFt - </w:t>
      </w:r>
      <w:r w:rsidR="005D1029" w:rsidRPr="005D1029">
        <w:rPr>
          <w:rFonts w:ascii="Calibri" w:hAnsi="Calibri" w:cs="Calibri"/>
          <w:sz w:val="22"/>
          <w:szCs w:val="22"/>
        </w:rPr>
        <w:t>a „Savaria Karnevál megrendezése, kulturális rendezvények, fesztíválok megrendezése” előirányzat került megemelésre</w:t>
      </w:r>
      <w:r w:rsidR="005D1029">
        <w:rPr>
          <w:rFonts w:ascii="Calibri" w:hAnsi="Calibri" w:cs="Calibri"/>
          <w:sz w:val="22"/>
          <w:szCs w:val="22"/>
        </w:rPr>
        <w:t>.</w:t>
      </w:r>
    </w:p>
    <w:p w14:paraId="3919A369" w14:textId="1E0B8AD4" w:rsidR="005C2883" w:rsidRDefault="005C2883" w:rsidP="005C2883">
      <w:pPr>
        <w:pStyle w:val="Listaszerbekezds"/>
        <w:numPr>
          <w:ilvl w:val="0"/>
          <w:numId w:val="20"/>
        </w:numPr>
        <w:jc w:val="both"/>
        <w:rPr>
          <w:rFonts w:ascii="Calibri" w:hAnsi="Calibri" w:cs="Calibri"/>
          <w:sz w:val="22"/>
          <w:szCs w:val="22"/>
        </w:rPr>
      </w:pPr>
      <w:r>
        <w:rPr>
          <w:rFonts w:ascii="Calibri" w:hAnsi="Calibri" w:cs="Calibri"/>
          <w:sz w:val="22"/>
          <w:szCs w:val="22"/>
        </w:rPr>
        <w:t xml:space="preserve">A Széll K. u. 51. sz. alatti átjáróban a térfigyelő kamera telepítéséhez, beszerzéséhez </w:t>
      </w:r>
      <w:r w:rsidR="00A3591D">
        <w:rPr>
          <w:rFonts w:ascii="Calibri" w:hAnsi="Calibri" w:cs="Calibri"/>
          <w:sz w:val="22"/>
          <w:szCs w:val="22"/>
        </w:rPr>
        <w:t>négy</w:t>
      </w:r>
      <w:r>
        <w:rPr>
          <w:rFonts w:ascii="Calibri" w:hAnsi="Calibri" w:cs="Calibri"/>
          <w:sz w:val="22"/>
          <w:szCs w:val="22"/>
        </w:rPr>
        <w:t xml:space="preserve"> társasház hozzájárult, összesen 800 eFt összeggel. Ezen összeg a „Felhalmozási kiadások – informatikai fejlesztések - </w:t>
      </w:r>
      <w:r w:rsidRPr="00893A40">
        <w:rPr>
          <w:rFonts w:ascii="Calibri" w:hAnsi="Calibri" w:cs="Calibri"/>
          <w:sz w:val="22"/>
          <w:szCs w:val="22"/>
        </w:rPr>
        <w:t>Széll K. u. 51. térfigyelő kamera telepítése</w:t>
      </w:r>
      <w:r>
        <w:rPr>
          <w:rFonts w:ascii="Calibri" w:hAnsi="Calibri" w:cs="Calibri"/>
          <w:sz w:val="22"/>
          <w:szCs w:val="22"/>
        </w:rPr>
        <w:t>” tételre került beemelésre.</w:t>
      </w:r>
    </w:p>
    <w:p w14:paraId="26F45AD8" w14:textId="77777777" w:rsidR="00E85F5E" w:rsidRPr="00C060AA" w:rsidRDefault="00E85F5E" w:rsidP="00E85F5E">
      <w:pPr>
        <w:pStyle w:val="Listaszerbekezds"/>
        <w:ind w:left="720"/>
        <w:jc w:val="both"/>
        <w:rPr>
          <w:rFonts w:ascii="Calibri" w:hAnsi="Calibri" w:cs="Calibri"/>
          <w:sz w:val="22"/>
          <w:szCs w:val="22"/>
        </w:rPr>
      </w:pPr>
    </w:p>
    <w:p w14:paraId="46EE67DF" w14:textId="77777777" w:rsidR="00500B0C" w:rsidRDefault="004137CD" w:rsidP="004137CD">
      <w:pPr>
        <w:ind w:left="360"/>
        <w:jc w:val="both"/>
        <w:rPr>
          <w:rFonts w:ascii="Calibri" w:hAnsi="Calibri" w:cs="Calibri"/>
          <w:b/>
          <w:i/>
          <w:sz w:val="22"/>
          <w:szCs w:val="22"/>
          <w:u w:val="single"/>
        </w:rPr>
      </w:pPr>
      <w:r>
        <w:rPr>
          <w:rFonts w:ascii="Calibri" w:hAnsi="Calibri" w:cs="Calibri"/>
          <w:b/>
          <w:i/>
          <w:sz w:val="22"/>
          <w:szCs w:val="22"/>
          <w:u w:val="single"/>
        </w:rPr>
        <w:t>c)</w:t>
      </w:r>
      <w:r w:rsidR="00500B0C" w:rsidRPr="004137CD">
        <w:rPr>
          <w:rFonts w:ascii="Calibri" w:hAnsi="Calibri" w:cs="Calibri"/>
          <w:b/>
          <w:i/>
          <w:sz w:val="22"/>
          <w:szCs w:val="22"/>
          <w:u w:val="single"/>
        </w:rPr>
        <w:t xml:space="preserve">egyenleg: </w:t>
      </w:r>
      <w:r w:rsidR="00641FCE">
        <w:rPr>
          <w:rFonts w:ascii="Calibri" w:hAnsi="Calibri" w:cs="Calibri"/>
          <w:b/>
          <w:i/>
          <w:sz w:val="22"/>
          <w:szCs w:val="22"/>
          <w:u w:val="single"/>
        </w:rPr>
        <w:t>0</w:t>
      </w:r>
      <w:r w:rsidR="00500B0C" w:rsidRPr="004137CD">
        <w:rPr>
          <w:rFonts w:ascii="Calibri" w:hAnsi="Calibri" w:cs="Calibri"/>
          <w:b/>
          <w:i/>
          <w:sz w:val="22"/>
          <w:szCs w:val="22"/>
          <w:u w:val="single"/>
        </w:rPr>
        <w:t xml:space="preserve"> eFt</w:t>
      </w:r>
    </w:p>
    <w:p w14:paraId="4E6B60B0" w14:textId="77777777" w:rsidR="00E85F5E" w:rsidRDefault="00E85F5E" w:rsidP="004137CD">
      <w:pPr>
        <w:ind w:left="360"/>
        <w:jc w:val="both"/>
        <w:rPr>
          <w:rFonts w:ascii="Calibri" w:hAnsi="Calibri" w:cs="Calibri"/>
          <w:b/>
          <w:i/>
          <w:sz w:val="22"/>
          <w:szCs w:val="22"/>
          <w:u w:val="single"/>
        </w:rPr>
      </w:pPr>
    </w:p>
    <w:p w14:paraId="3A4FAF79" w14:textId="77777777" w:rsidR="00E85F5E" w:rsidRPr="004137CD" w:rsidRDefault="00E85F5E" w:rsidP="004137CD">
      <w:pPr>
        <w:ind w:left="360"/>
        <w:jc w:val="both"/>
        <w:rPr>
          <w:rFonts w:ascii="Calibri" w:hAnsi="Calibri" w:cs="Calibri"/>
          <w:b/>
          <w:i/>
          <w:sz w:val="22"/>
          <w:szCs w:val="22"/>
          <w:u w:val="single"/>
        </w:rPr>
      </w:pPr>
    </w:p>
    <w:p w14:paraId="64B3BC08" w14:textId="0EB15EB2" w:rsidR="00500B0C" w:rsidRPr="00F14DC1" w:rsidRDefault="00500B0C" w:rsidP="00B26409">
      <w:pPr>
        <w:jc w:val="both"/>
        <w:rPr>
          <w:rFonts w:ascii="Calibri" w:hAnsi="Calibri" w:cs="Calibri"/>
          <w:sz w:val="22"/>
          <w:szCs w:val="22"/>
        </w:rPr>
      </w:pPr>
      <w:r w:rsidRPr="00F14DC1">
        <w:rPr>
          <w:rFonts w:ascii="Calibri" w:hAnsi="Calibri" w:cs="Calibri"/>
          <w:b/>
          <w:i/>
          <w:sz w:val="22"/>
          <w:szCs w:val="22"/>
        </w:rPr>
        <w:t>d)</w:t>
      </w:r>
      <w:r w:rsidR="00BF5DCF" w:rsidRPr="00F14DC1">
        <w:rPr>
          <w:rFonts w:ascii="Calibri" w:hAnsi="Calibri" w:cs="Calibri"/>
          <w:b/>
          <w:i/>
          <w:sz w:val="22"/>
          <w:szCs w:val="22"/>
        </w:rPr>
        <w:t xml:space="preserve"> </w:t>
      </w:r>
      <w:r w:rsidRPr="00F14DC1">
        <w:rPr>
          <w:rFonts w:ascii="Calibri" w:hAnsi="Calibri" w:cs="Calibri"/>
          <w:b/>
          <w:i/>
          <w:sz w:val="22"/>
          <w:szCs w:val="22"/>
        </w:rPr>
        <w:t>A</w:t>
      </w:r>
      <w:r w:rsidRPr="00F14DC1">
        <w:rPr>
          <w:rFonts w:ascii="Calibri" w:hAnsi="Calibri" w:cs="Calibri"/>
          <w:sz w:val="22"/>
          <w:szCs w:val="22"/>
        </w:rPr>
        <w:t xml:space="preserve"> </w:t>
      </w:r>
      <w:r w:rsidRPr="00F14DC1">
        <w:rPr>
          <w:rFonts w:ascii="Calibri" w:hAnsi="Calibri" w:cs="Calibri"/>
          <w:b/>
          <w:bCs/>
          <w:i/>
          <w:iCs/>
          <w:sz w:val="22"/>
          <w:szCs w:val="22"/>
          <w:u w:val="single"/>
        </w:rPr>
        <w:t>működéshez</w:t>
      </w:r>
      <w:r w:rsidR="005D1029">
        <w:rPr>
          <w:rFonts w:ascii="Calibri" w:hAnsi="Calibri" w:cs="Calibri"/>
          <w:b/>
          <w:bCs/>
          <w:i/>
          <w:iCs/>
          <w:sz w:val="22"/>
          <w:szCs w:val="22"/>
          <w:u w:val="single"/>
        </w:rPr>
        <w:t xml:space="preserve"> és felhalmozáshoz</w:t>
      </w:r>
      <w:r w:rsidR="00E43772" w:rsidRPr="00F14DC1">
        <w:rPr>
          <w:rFonts w:ascii="Calibri" w:hAnsi="Calibri" w:cs="Calibri"/>
          <w:b/>
          <w:bCs/>
          <w:i/>
          <w:iCs/>
          <w:sz w:val="22"/>
          <w:szCs w:val="22"/>
          <w:u w:val="single"/>
        </w:rPr>
        <w:t xml:space="preserve"> </w:t>
      </w:r>
      <w:r w:rsidRPr="00F14DC1">
        <w:rPr>
          <w:rFonts w:ascii="Calibri" w:hAnsi="Calibri" w:cs="Calibri"/>
          <w:b/>
          <w:bCs/>
          <w:i/>
          <w:iCs/>
          <w:sz w:val="22"/>
          <w:szCs w:val="22"/>
          <w:u w:val="single"/>
        </w:rPr>
        <w:t>kapcsolódó</w:t>
      </w:r>
      <w:r w:rsidR="00534967">
        <w:rPr>
          <w:rFonts w:ascii="Calibri" w:hAnsi="Calibri" w:cs="Calibri"/>
          <w:b/>
          <w:bCs/>
          <w:i/>
          <w:iCs/>
          <w:sz w:val="22"/>
          <w:szCs w:val="22"/>
          <w:u w:val="single"/>
        </w:rPr>
        <w:t>, valamint a finanszírozási műveletek előirányzata</w:t>
      </w:r>
      <w:r w:rsidRPr="00F14DC1">
        <w:rPr>
          <w:rFonts w:ascii="Calibri" w:hAnsi="Calibri" w:cs="Calibri"/>
          <w:bCs/>
          <w:iCs/>
          <w:sz w:val="22"/>
          <w:szCs w:val="22"/>
        </w:rPr>
        <w:t xml:space="preserve"> –</w:t>
      </w:r>
      <w:r w:rsidR="00E43772" w:rsidRPr="00F14DC1">
        <w:rPr>
          <w:rFonts w:ascii="Calibri" w:hAnsi="Calibri" w:cs="Calibri"/>
          <w:sz w:val="22"/>
          <w:szCs w:val="22"/>
        </w:rPr>
        <w:t>mind</w:t>
      </w:r>
      <w:r w:rsidRPr="00F14DC1">
        <w:rPr>
          <w:rFonts w:ascii="Calibri" w:hAnsi="Calibri" w:cs="Calibri"/>
          <w:sz w:val="22"/>
          <w:szCs w:val="22"/>
        </w:rPr>
        <w:t xml:space="preserve">összesen </w:t>
      </w:r>
      <w:r w:rsidR="00534967">
        <w:rPr>
          <w:rFonts w:ascii="Calibri" w:hAnsi="Calibri" w:cs="Calibri"/>
          <w:sz w:val="22"/>
          <w:szCs w:val="22"/>
        </w:rPr>
        <w:t>1.073.338</w:t>
      </w:r>
      <w:r w:rsidRPr="001A448A">
        <w:rPr>
          <w:rFonts w:ascii="Calibri" w:hAnsi="Calibri" w:cs="Calibri"/>
          <w:color w:val="FF0000"/>
          <w:sz w:val="22"/>
          <w:szCs w:val="22"/>
        </w:rPr>
        <w:t xml:space="preserve"> </w:t>
      </w:r>
      <w:r w:rsidRPr="0071674C">
        <w:rPr>
          <w:rFonts w:ascii="Calibri" w:hAnsi="Calibri" w:cs="Calibri"/>
          <w:sz w:val="22"/>
          <w:szCs w:val="22"/>
        </w:rPr>
        <w:t>eFt</w:t>
      </w:r>
      <w:r w:rsidR="00534967">
        <w:rPr>
          <w:rFonts w:ascii="Calibri" w:hAnsi="Calibri" w:cs="Calibri"/>
          <w:sz w:val="22"/>
          <w:szCs w:val="22"/>
        </w:rPr>
        <w:t xml:space="preserve"> összeggel növekedett. </w:t>
      </w:r>
    </w:p>
    <w:p w14:paraId="5E415CF1" w14:textId="77777777" w:rsidR="00500B0C" w:rsidRDefault="00500B0C" w:rsidP="00500B0C">
      <w:pPr>
        <w:ind w:left="360"/>
        <w:jc w:val="both"/>
        <w:rPr>
          <w:rFonts w:ascii="Calibri" w:hAnsi="Calibri" w:cs="Calibri"/>
          <w:sz w:val="22"/>
          <w:szCs w:val="22"/>
        </w:rPr>
      </w:pPr>
    </w:p>
    <w:p w14:paraId="75877D49" w14:textId="21AA1C1B" w:rsidR="00A860A3" w:rsidRPr="00F61FE1" w:rsidRDefault="00A860A3" w:rsidP="00A860A3">
      <w:pPr>
        <w:numPr>
          <w:ilvl w:val="0"/>
          <w:numId w:val="3"/>
        </w:numPr>
        <w:jc w:val="both"/>
        <w:rPr>
          <w:rFonts w:ascii="Calibri" w:hAnsi="Calibri" w:cs="Calibri"/>
          <w:sz w:val="22"/>
          <w:szCs w:val="22"/>
        </w:rPr>
      </w:pPr>
      <w:r w:rsidRPr="004901AF">
        <w:rPr>
          <w:rFonts w:ascii="Calibri" w:hAnsi="Calibri" w:cs="Calibri"/>
          <w:sz w:val="22"/>
          <w:szCs w:val="22"/>
        </w:rPr>
        <w:t>A „Köztemetés költségeinek megtér</w:t>
      </w:r>
      <w:r w:rsidR="004901AF" w:rsidRPr="004901AF">
        <w:rPr>
          <w:rFonts w:ascii="Calibri" w:hAnsi="Calibri" w:cs="Calibri"/>
          <w:sz w:val="22"/>
          <w:szCs w:val="22"/>
        </w:rPr>
        <w:t>ítésébő</w:t>
      </w:r>
      <w:r w:rsidRPr="004901AF">
        <w:rPr>
          <w:rFonts w:ascii="Calibri" w:hAnsi="Calibri" w:cs="Calibri"/>
          <w:sz w:val="22"/>
          <w:szCs w:val="22"/>
        </w:rPr>
        <w:t xml:space="preserve">l”, </w:t>
      </w:r>
      <w:r w:rsidR="004901AF" w:rsidRPr="004901AF">
        <w:rPr>
          <w:rFonts w:ascii="Calibri" w:hAnsi="Calibri" w:cs="Calibri"/>
          <w:sz w:val="22"/>
          <w:szCs w:val="22"/>
        </w:rPr>
        <w:t xml:space="preserve">és a </w:t>
      </w:r>
      <w:r w:rsidRPr="004901AF">
        <w:rPr>
          <w:rFonts w:ascii="Calibri" w:hAnsi="Calibri" w:cs="Calibri"/>
          <w:sz w:val="22"/>
          <w:szCs w:val="22"/>
        </w:rPr>
        <w:t xml:space="preserve">„Köztemetés költségeinek megtérülés más önkormányzattól” származó többletek a „Segély önkormányzati támogatásból” tételre </w:t>
      </w:r>
      <w:r w:rsidRPr="00F61FE1">
        <w:rPr>
          <w:rFonts w:ascii="Calibri" w:hAnsi="Calibri" w:cs="Calibri"/>
          <w:sz w:val="22"/>
          <w:szCs w:val="22"/>
        </w:rPr>
        <w:t>kerültek beemelésre</w:t>
      </w:r>
      <w:r w:rsidR="00480AEF" w:rsidRPr="00F61FE1">
        <w:rPr>
          <w:rFonts w:ascii="Calibri" w:hAnsi="Calibri" w:cs="Calibri"/>
          <w:sz w:val="22"/>
          <w:szCs w:val="22"/>
        </w:rPr>
        <w:t xml:space="preserve"> mindösszesen</w:t>
      </w:r>
      <w:r w:rsidRPr="00F61FE1">
        <w:rPr>
          <w:rFonts w:ascii="Calibri" w:hAnsi="Calibri" w:cs="Calibri"/>
          <w:sz w:val="22"/>
          <w:szCs w:val="22"/>
        </w:rPr>
        <w:t xml:space="preserve"> </w:t>
      </w:r>
      <w:r w:rsidR="00534967" w:rsidRPr="00F61FE1">
        <w:rPr>
          <w:rFonts w:ascii="Calibri" w:hAnsi="Calibri" w:cs="Calibri"/>
          <w:sz w:val="22"/>
          <w:szCs w:val="22"/>
        </w:rPr>
        <w:t>4.485</w:t>
      </w:r>
      <w:r w:rsidRPr="00F61FE1">
        <w:rPr>
          <w:rFonts w:ascii="Calibri" w:hAnsi="Calibri" w:cs="Calibri"/>
          <w:sz w:val="22"/>
          <w:szCs w:val="22"/>
        </w:rPr>
        <w:t xml:space="preserve"> eFt összegben.</w:t>
      </w:r>
    </w:p>
    <w:p w14:paraId="26EB8F6F" w14:textId="77777777" w:rsidR="00B26409" w:rsidRPr="00F61FE1" w:rsidRDefault="00B26409" w:rsidP="00B26409">
      <w:pPr>
        <w:ind w:left="720"/>
        <w:jc w:val="both"/>
        <w:rPr>
          <w:rFonts w:ascii="Calibri" w:hAnsi="Calibri" w:cs="Calibri"/>
          <w:sz w:val="22"/>
          <w:szCs w:val="22"/>
        </w:rPr>
      </w:pPr>
    </w:p>
    <w:p w14:paraId="59FCC0F8" w14:textId="625F877E" w:rsidR="00FC4817" w:rsidRPr="00F61FE1" w:rsidRDefault="00FC4817" w:rsidP="00FC4817">
      <w:pPr>
        <w:numPr>
          <w:ilvl w:val="0"/>
          <w:numId w:val="3"/>
        </w:numPr>
        <w:jc w:val="both"/>
        <w:rPr>
          <w:rFonts w:ascii="Calibri" w:hAnsi="Calibri" w:cs="Calibri"/>
          <w:sz w:val="22"/>
          <w:szCs w:val="22"/>
        </w:rPr>
      </w:pPr>
      <w:r w:rsidRPr="00F61FE1">
        <w:rPr>
          <w:rFonts w:ascii="Calibri" w:hAnsi="Calibri" w:cs="Calibri"/>
          <w:sz w:val="22"/>
          <w:szCs w:val="22"/>
        </w:rPr>
        <w:t xml:space="preserve">A Közösségi Bérlakás Rendszer működéséhez kapcsolódó </w:t>
      </w:r>
      <w:r w:rsidR="00F44B2D" w:rsidRPr="00F61FE1">
        <w:rPr>
          <w:rFonts w:ascii="Calibri" w:hAnsi="Calibri" w:cs="Calibri"/>
          <w:sz w:val="22"/>
          <w:szCs w:val="22"/>
        </w:rPr>
        <w:t xml:space="preserve">lakbér </w:t>
      </w:r>
      <w:r w:rsidRPr="00F61FE1">
        <w:rPr>
          <w:rFonts w:ascii="Calibri" w:hAnsi="Calibri" w:cs="Calibri"/>
          <w:sz w:val="22"/>
          <w:szCs w:val="22"/>
        </w:rPr>
        <w:t xml:space="preserve">bevétel összege, mely </w:t>
      </w:r>
      <w:r w:rsidR="00534967" w:rsidRPr="00F61FE1">
        <w:rPr>
          <w:rFonts w:ascii="Calibri" w:hAnsi="Calibri" w:cs="Calibri"/>
          <w:sz w:val="22"/>
          <w:szCs w:val="22"/>
        </w:rPr>
        <w:t>16.686</w:t>
      </w:r>
      <w:r w:rsidRPr="00F61FE1">
        <w:rPr>
          <w:rFonts w:ascii="Calibri" w:hAnsi="Calibri" w:cs="Calibri"/>
          <w:sz w:val="22"/>
          <w:szCs w:val="22"/>
        </w:rPr>
        <w:t xml:space="preserve"> eFt beemelésre került a Közösségi Bérlakás Rendszer kiadási előirányzatára. </w:t>
      </w:r>
    </w:p>
    <w:p w14:paraId="73A04314" w14:textId="77777777" w:rsidR="00B26409" w:rsidRDefault="00B26409" w:rsidP="00B26409">
      <w:pPr>
        <w:pStyle w:val="Listaszerbekezds"/>
        <w:rPr>
          <w:rFonts w:ascii="Calibri" w:hAnsi="Calibri" w:cs="Calibri"/>
          <w:sz w:val="22"/>
          <w:szCs w:val="22"/>
        </w:rPr>
      </w:pPr>
    </w:p>
    <w:p w14:paraId="0706C926" w14:textId="432574D2" w:rsidR="00BF642D" w:rsidRDefault="00BF642D" w:rsidP="00BF642D">
      <w:pPr>
        <w:pStyle w:val="Listaszerbekezds"/>
        <w:numPr>
          <w:ilvl w:val="0"/>
          <w:numId w:val="3"/>
        </w:numPr>
        <w:jc w:val="both"/>
        <w:rPr>
          <w:rFonts w:ascii="Calibri" w:hAnsi="Calibri" w:cs="Calibri"/>
          <w:sz w:val="22"/>
          <w:szCs w:val="22"/>
        </w:rPr>
      </w:pPr>
      <w:r w:rsidRPr="00C72016">
        <w:rPr>
          <w:rFonts w:ascii="Calibri" w:hAnsi="Calibri" w:cs="Calibri"/>
          <w:sz w:val="22"/>
          <w:szCs w:val="22"/>
        </w:rPr>
        <w:t>A 2025. évi I – V</w:t>
      </w:r>
      <w:r w:rsidR="005D1029">
        <w:rPr>
          <w:rFonts w:ascii="Calibri" w:hAnsi="Calibri" w:cs="Calibri"/>
          <w:sz w:val="22"/>
          <w:szCs w:val="22"/>
        </w:rPr>
        <w:t>III</w:t>
      </w:r>
      <w:r w:rsidRPr="00C72016">
        <w:rPr>
          <w:rFonts w:ascii="Calibri" w:hAnsi="Calibri" w:cs="Calibri"/>
          <w:sz w:val="22"/>
          <w:szCs w:val="22"/>
        </w:rPr>
        <w:t>. havi teljesítési adatok alapján a „Vásárok bevétele”</w:t>
      </w:r>
      <w:r w:rsidR="007A5638">
        <w:rPr>
          <w:rFonts w:ascii="Calibri" w:hAnsi="Calibri" w:cs="Calibri"/>
          <w:sz w:val="22"/>
          <w:szCs w:val="22"/>
        </w:rPr>
        <w:t xml:space="preserve"> és a „Vásárokhoz kapcsolódó közterület foglalási díjbevétel” </w:t>
      </w:r>
      <w:r w:rsidRPr="00C72016">
        <w:rPr>
          <w:rFonts w:ascii="Calibri" w:hAnsi="Calibri" w:cs="Calibri"/>
          <w:sz w:val="22"/>
          <w:szCs w:val="22"/>
        </w:rPr>
        <w:t>tétel</w:t>
      </w:r>
      <w:r w:rsidR="007A5638">
        <w:rPr>
          <w:rFonts w:ascii="Calibri" w:hAnsi="Calibri" w:cs="Calibri"/>
          <w:sz w:val="22"/>
          <w:szCs w:val="22"/>
        </w:rPr>
        <w:t>ek</w:t>
      </w:r>
      <w:r w:rsidRPr="00C72016">
        <w:rPr>
          <w:rFonts w:ascii="Calibri" w:hAnsi="Calibri" w:cs="Calibri"/>
          <w:sz w:val="22"/>
          <w:szCs w:val="22"/>
        </w:rPr>
        <w:t xml:space="preserve"> többlete</w:t>
      </w:r>
      <w:r w:rsidR="007A5638">
        <w:rPr>
          <w:rFonts w:ascii="Calibri" w:hAnsi="Calibri" w:cs="Calibri"/>
          <w:sz w:val="22"/>
          <w:szCs w:val="22"/>
        </w:rPr>
        <w:t xml:space="preserve"> mindösszesen </w:t>
      </w:r>
      <w:r w:rsidR="00534967">
        <w:rPr>
          <w:rFonts w:ascii="Calibri" w:hAnsi="Calibri" w:cs="Calibri"/>
          <w:sz w:val="22"/>
          <w:szCs w:val="22"/>
        </w:rPr>
        <w:t>1.659</w:t>
      </w:r>
      <w:r w:rsidR="007A5638">
        <w:rPr>
          <w:rFonts w:ascii="Calibri" w:hAnsi="Calibri" w:cs="Calibri"/>
          <w:sz w:val="22"/>
          <w:szCs w:val="22"/>
        </w:rPr>
        <w:t xml:space="preserve"> eFt</w:t>
      </w:r>
      <w:r w:rsidRPr="00C72016">
        <w:rPr>
          <w:rFonts w:ascii="Calibri" w:hAnsi="Calibri" w:cs="Calibri"/>
          <w:sz w:val="22"/>
          <w:szCs w:val="22"/>
        </w:rPr>
        <w:t>.  Ezen összeggel megemelésre került a „Vásárok, rendezvények, karácsonyi díszkivilágítás” költségvetési tétel kiadási előirányzat</w:t>
      </w:r>
      <w:r w:rsidR="007A5638">
        <w:rPr>
          <w:rFonts w:ascii="Calibri" w:hAnsi="Calibri" w:cs="Calibri"/>
          <w:sz w:val="22"/>
          <w:szCs w:val="22"/>
        </w:rPr>
        <w:t>a</w:t>
      </w:r>
      <w:r w:rsidRPr="00C72016">
        <w:rPr>
          <w:rFonts w:ascii="Calibri" w:hAnsi="Calibri" w:cs="Calibri"/>
          <w:sz w:val="22"/>
          <w:szCs w:val="22"/>
        </w:rPr>
        <w:t xml:space="preserve">.   </w:t>
      </w:r>
    </w:p>
    <w:p w14:paraId="0AD1B118" w14:textId="77777777" w:rsidR="00B26409" w:rsidRPr="00B26409" w:rsidRDefault="00B26409" w:rsidP="00B26409">
      <w:pPr>
        <w:pStyle w:val="Listaszerbekezds"/>
        <w:rPr>
          <w:rFonts w:ascii="Calibri" w:hAnsi="Calibri" w:cs="Calibri"/>
          <w:sz w:val="22"/>
          <w:szCs w:val="22"/>
        </w:rPr>
      </w:pPr>
    </w:p>
    <w:p w14:paraId="3742F866" w14:textId="0261CC22" w:rsidR="00C44696" w:rsidRDefault="005D1029" w:rsidP="00534967">
      <w:pPr>
        <w:numPr>
          <w:ilvl w:val="0"/>
          <w:numId w:val="3"/>
        </w:numPr>
        <w:jc w:val="both"/>
        <w:rPr>
          <w:rFonts w:ascii="Calibri" w:hAnsi="Calibri" w:cs="Calibri"/>
          <w:sz w:val="22"/>
          <w:szCs w:val="22"/>
        </w:rPr>
      </w:pPr>
      <w:r w:rsidRPr="00557659">
        <w:rPr>
          <w:rFonts w:ascii="Calibri" w:hAnsi="Calibri" w:cs="Calibri"/>
          <w:sz w:val="22"/>
          <w:szCs w:val="22"/>
        </w:rPr>
        <w:t>A hulladékról szóló 2012. évi CLXXXV. törvény alapján az önkormányzatunk a hulladékgazdálkodási feladatok ellátásához kapcsolódó</w:t>
      </w:r>
      <w:r w:rsidR="00D90A4B" w:rsidRPr="00557659">
        <w:rPr>
          <w:rFonts w:ascii="Calibri" w:hAnsi="Calibri" w:cs="Calibri"/>
          <w:sz w:val="22"/>
          <w:szCs w:val="22"/>
        </w:rPr>
        <w:t xml:space="preserve"> önkormányzatot megillető pénzügyi juttatásban részesül. Az I-VIII. havi teljesítési adatok alapján a többletbevétel összege 301.931 eFt. Ugyanakkor </w:t>
      </w:r>
      <w:r w:rsidR="00557659" w:rsidRPr="00557659">
        <w:rPr>
          <w:rFonts w:ascii="Calibri" w:hAnsi="Calibri" w:cs="Calibri"/>
          <w:sz w:val="22"/>
          <w:szCs w:val="22"/>
        </w:rPr>
        <w:t xml:space="preserve">ezen időszakban </w:t>
      </w:r>
      <w:r w:rsidR="00D90A4B" w:rsidRPr="00557659">
        <w:rPr>
          <w:rFonts w:ascii="Calibri" w:hAnsi="Calibri" w:cs="Calibri"/>
          <w:sz w:val="22"/>
          <w:szCs w:val="22"/>
        </w:rPr>
        <w:t>az önkormányzat</w:t>
      </w:r>
      <w:r w:rsidR="00557659" w:rsidRPr="00557659">
        <w:rPr>
          <w:rFonts w:ascii="Calibri" w:hAnsi="Calibri" w:cs="Calibri"/>
          <w:sz w:val="22"/>
          <w:szCs w:val="22"/>
        </w:rPr>
        <w:t xml:space="preserve">unknak „hulladékkezelési díj” címén </w:t>
      </w:r>
      <w:r w:rsidR="00534967">
        <w:rPr>
          <w:rFonts w:ascii="Calibri" w:hAnsi="Calibri" w:cs="Calibri"/>
          <w:sz w:val="22"/>
          <w:szCs w:val="22"/>
        </w:rPr>
        <w:t>92.470</w:t>
      </w:r>
      <w:r w:rsidR="00557659" w:rsidRPr="00557659">
        <w:rPr>
          <w:rFonts w:ascii="Calibri" w:hAnsi="Calibri" w:cs="Calibri"/>
          <w:sz w:val="22"/>
          <w:szCs w:val="22"/>
        </w:rPr>
        <w:t xml:space="preserve"> eFt összegű fizetési kötelezettsége is keletkezett.  </w:t>
      </w:r>
    </w:p>
    <w:p w14:paraId="60C95DBD" w14:textId="77777777" w:rsidR="00534967" w:rsidRDefault="00534967" w:rsidP="00534967">
      <w:pPr>
        <w:pStyle w:val="Listaszerbekezds"/>
        <w:jc w:val="both"/>
        <w:rPr>
          <w:rFonts w:ascii="Calibri" w:hAnsi="Calibri" w:cs="Calibri"/>
          <w:sz w:val="22"/>
          <w:szCs w:val="22"/>
        </w:rPr>
      </w:pPr>
    </w:p>
    <w:p w14:paraId="30120F2F" w14:textId="138399E4" w:rsidR="00534967" w:rsidRDefault="00534967" w:rsidP="00534967">
      <w:pPr>
        <w:pStyle w:val="Listaszerbekezds"/>
        <w:numPr>
          <w:ilvl w:val="0"/>
          <w:numId w:val="3"/>
        </w:numPr>
        <w:jc w:val="both"/>
        <w:rPr>
          <w:rFonts w:ascii="Calibri" w:hAnsi="Calibri" w:cs="Calibri"/>
          <w:sz w:val="22"/>
          <w:szCs w:val="22"/>
        </w:rPr>
      </w:pPr>
      <w:r w:rsidRPr="00C060AA">
        <w:rPr>
          <w:rFonts w:ascii="Calibri" w:hAnsi="Calibri" w:cs="Calibri"/>
          <w:sz w:val="22"/>
          <w:szCs w:val="22"/>
        </w:rPr>
        <w:t>A „Biztosító térítése, egyéb kártérítés, kötbér” tételsoron 1.</w:t>
      </w:r>
      <w:r>
        <w:rPr>
          <w:rFonts w:ascii="Calibri" w:hAnsi="Calibri" w:cs="Calibri"/>
          <w:sz w:val="22"/>
          <w:szCs w:val="22"/>
        </w:rPr>
        <w:t>056</w:t>
      </w:r>
      <w:r w:rsidRPr="00C060AA">
        <w:rPr>
          <w:rFonts w:ascii="Calibri" w:hAnsi="Calibri" w:cs="Calibri"/>
          <w:sz w:val="22"/>
          <w:szCs w:val="22"/>
        </w:rPr>
        <w:t xml:space="preserve"> eFt összegű többletbevétel került beemelésre. Ezen összegből közvilágítási kandeláberek helyreállítása történt meg, így az „Út-híd fenntartási kiadások - Közvilágítási elemek karbantartása, kiegészítése” tételsor előirányzata került megemelésre. </w:t>
      </w:r>
    </w:p>
    <w:p w14:paraId="14C31740" w14:textId="77777777" w:rsidR="00534967" w:rsidRDefault="00534967" w:rsidP="00534967">
      <w:pPr>
        <w:pStyle w:val="Listaszerbekezds"/>
        <w:jc w:val="both"/>
        <w:rPr>
          <w:rFonts w:ascii="Calibri" w:hAnsi="Calibri" w:cs="Calibri"/>
          <w:sz w:val="22"/>
          <w:szCs w:val="22"/>
        </w:rPr>
      </w:pPr>
    </w:p>
    <w:p w14:paraId="5C002CCA" w14:textId="0E0CF634" w:rsidR="001536D5" w:rsidRPr="00534967" w:rsidRDefault="001536D5" w:rsidP="001536D5">
      <w:pPr>
        <w:pStyle w:val="Listaszerbekezds"/>
        <w:numPr>
          <w:ilvl w:val="0"/>
          <w:numId w:val="3"/>
        </w:numPr>
        <w:jc w:val="both"/>
        <w:rPr>
          <w:rFonts w:ascii="Calibri" w:hAnsi="Calibri" w:cs="Calibri"/>
          <w:sz w:val="22"/>
          <w:szCs w:val="22"/>
        </w:rPr>
      </w:pPr>
      <w:r w:rsidRPr="00534967">
        <w:rPr>
          <w:rFonts w:ascii="Calibri" w:hAnsi="Calibri" w:cs="Calibri"/>
          <w:sz w:val="22"/>
          <w:szCs w:val="22"/>
        </w:rPr>
        <w:t xml:space="preserve">A </w:t>
      </w:r>
      <w:r w:rsidR="00837FD9">
        <w:rPr>
          <w:rFonts w:ascii="Calibri" w:hAnsi="Calibri" w:cs="Calibri"/>
          <w:sz w:val="22"/>
          <w:szCs w:val="22"/>
        </w:rPr>
        <w:t>6842/1/A/11 helyrajzi szám alatt lévő garázs</w:t>
      </w:r>
      <w:r w:rsidRPr="00534967">
        <w:rPr>
          <w:rFonts w:ascii="Calibri" w:hAnsi="Calibri" w:cs="Calibri"/>
          <w:sz w:val="22"/>
          <w:szCs w:val="22"/>
        </w:rPr>
        <w:t xml:space="preserve"> ingatlan csereszerződés</w:t>
      </w:r>
      <w:r w:rsidR="00837FD9">
        <w:rPr>
          <w:rFonts w:ascii="Calibri" w:hAnsi="Calibri" w:cs="Calibri"/>
          <w:sz w:val="22"/>
          <w:szCs w:val="22"/>
        </w:rPr>
        <w:t>éről szóló dokumentum</w:t>
      </w:r>
      <w:r w:rsidRPr="00534967">
        <w:rPr>
          <w:rFonts w:ascii="Calibri" w:hAnsi="Calibri" w:cs="Calibri"/>
          <w:sz w:val="22"/>
          <w:szCs w:val="22"/>
        </w:rPr>
        <w:t xml:space="preserve"> alapján mind a vagyongazdálkodási bevételek és az ingatlancseréből származó áfa bevétel, mind pedig a vagyongazdálkodási kiadások előirányzata közé beemelésre került az ingatlan csere ügylet értéke 5.499 eFt összegben. </w:t>
      </w:r>
    </w:p>
    <w:p w14:paraId="724D9B83" w14:textId="77777777" w:rsidR="00FB34FF" w:rsidRPr="00534967" w:rsidRDefault="00FB34FF" w:rsidP="001E2EF8">
      <w:pPr>
        <w:pStyle w:val="Listaszerbekezds"/>
        <w:ind w:left="720"/>
        <w:rPr>
          <w:rFonts w:ascii="Calibri" w:hAnsi="Calibri" w:cs="Calibri"/>
          <w:sz w:val="22"/>
          <w:szCs w:val="22"/>
        </w:rPr>
      </w:pPr>
    </w:p>
    <w:p w14:paraId="59FBA0A9" w14:textId="1827F09D" w:rsidR="00FB34FF" w:rsidRPr="00534967" w:rsidRDefault="00FB34FF" w:rsidP="00FB34FF">
      <w:pPr>
        <w:numPr>
          <w:ilvl w:val="0"/>
          <w:numId w:val="3"/>
        </w:numPr>
        <w:jc w:val="both"/>
        <w:rPr>
          <w:rFonts w:ascii="Calibri" w:hAnsi="Calibri" w:cs="Calibri"/>
          <w:sz w:val="22"/>
          <w:szCs w:val="22"/>
        </w:rPr>
      </w:pPr>
      <w:r w:rsidRPr="00534967">
        <w:rPr>
          <w:rFonts w:ascii="Calibri" w:hAnsi="Calibri" w:cs="Calibri"/>
          <w:sz w:val="22"/>
          <w:szCs w:val="22"/>
        </w:rPr>
        <w:lastRenderedPageBreak/>
        <w:t>A finanszírozási műveletek bevételi és kiadási előirányzata között a 2025. évi költségvetési támogatási előleg 739.522eFt összegének elszámolása az államháztartási, könyvvezetési szabályoknak megfelelően történt meg.</w:t>
      </w:r>
    </w:p>
    <w:p w14:paraId="58F7C779" w14:textId="77777777" w:rsidR="00557659" w:rsidRPr="00557659" w:rsidRDefault="00557659" w:rsidP="00557659">
      <w:pPr>
        <w:jc w:val="both"/>
        <w:rPr>
          <w:rFonts w:ascii="Calibri" w:hAnsi="Calibri" w:cs="Calibri"/>
          <w:sz w:val="22"/>
          <w:szCs w:val="22"/>
        </w:rPr>
      </w:pPr>
    </w:p>
    <w:p w14:paraId="64881034" w14:textId="59EAECB7" w:rsidR="00500B0C" w:rsidRPr="00F14DC1" w:rsidRDefault="0060684C" w:rsidP="00500B0C">
      <w:pPr>
        <w:ind w:left="720"/>
        <w:jc w:val="both"/>
        <w:rPr>
          <w:rFonts w:ascii="Calibri" w:hAnsi="Calibri" w:cs="Calibri"/>
          <w:b/>
          <w:bCs/>
          <w:i/>
          <w:iCs/>
          <w:sz w:val="22"/>
          <w:szCs w:val="22"/>
          <w:u w:val="single"/>
        </w:rPr>
      </w:pPr>
      <w:r w:rsidRPr="006F07FF">
        <w:rPr>
          <w:rFonts w:ascii="Calibri" w:hAnsi="Calibri" w:cs="Calibri"/>
          <w:b/>
          <w:bCs/>
          <w:i/>
          <w:iCs/>
          <w:sz w:val="22"/>
          <w:szCs w:val="22"/>
          <w:u w:val="single"/>
        </w:rPr>
        <w:t>d)egyenleg:</w:t>
      </w:r>
      <w:r w:rsidR="00C44696" w:rsidRPr="006F07FF">
        <w:rPr>
          <w:rFonts w:ascii="Calibri" w:hAnsi="Calibri" w:cs="Calibri"/>
          <w:b/>
          <w:bCs/>
          <w:i/>
          <w:iCs/>
          <w:sz w:val="22"/>
          <w:szCs w:val="22"/>
          <w:u w:val="single"/>
        </w:rPr>
        <w:t xml:space="preserve"> </w:t>
      </w:r>
      <w:r w:rsidR="00534967" w:rsidRPr="006F07FF">
        <w:rPr>
          <w:rFonts w:ascii="Calibri" w:hAnsi="Calibri" w:cs="Calibri"/>
          <w:b/>
          <w:bCs/>
          <w:i/>
          <w:iCs/>
          <w:sz w:val="22"/>
          <w:szCs w:val="22"/>
          <w:u w:val="single"/>
        </w:rPr>
        <w:t>+209.461</w:t>
      </w:r>
      <w:r w:rsidR="00057C30" w:rsidRPr="006F07FF">
        <w:rPr>
          <w:rFonts w:ascii="Calibri" w:hAnsi="Calibri" w:cs="Calibri"/>
          <w:b/>
          <w:bCs/>
          <w:i/>
          <w:iCs/>
          <w:sz w:val="22"/>
          <w:szCs w:val="22"/>
          <w:u w:val="single"/>
        </w:rPr>
        <w:t xml:space="preserve"> </w:t>
      </w:r>
      <w:r w:rsidR="00500B0C" w:rsidRPr="006F07FF">
        <w:rPr>
          <w:rFonts w:ascii="Calibri" w:hAnsi="Calibri" w:cs="Calibri"/>
          <w:b/>
          <w:bCs/>
          <w:i/>
          <w:iCs/>
          <w:sz w:val="22"/>
          <w:szCs w:val="22"/>
          <w:u w:val="single"/>
        </w:rPr>
        <w:t>eFt</w:t>
      </w:r>
    </w:p>
    <w:p w14:paraId="52E27D92" w14:textId="77777777" w:rsidR="00500B0C" w:rsidRPr="00F14DC1" w:rsidRDefault="00500B0C" w:rsidP="00500B0C">
      <w:pPr>
        <w:ind w:left="720"/>
        <w:jc w:val="both"/>
        <w:rPr>
          <w:rFonts w:ascii="Calibri" w:hAnsi="Calibri" w:cs="Calibri"/>
          <w:b/>
          <w:bCs/>
          <w:i/>
          <w:iCs/>
          <w:sz w:val="22"/>
          <w:szCs w:val="22"/>
          <w:u w:val="single"/>
        </w:rPr>
      </w:pPr>
    </w:p>
    <w:p w14:paraId="2CCA11CC" w14:textId="7062C13B" w:rsidR="00500B0C" w:rsidRPr="004D5931" w:rsidRDefault="004D5931" w:rsidP="00B26409">
      <w:pPr>
        <w:pStyle w:val="Listaszerbekezds"/>
        <w:keepNext/>
        <w:numPr>
          <w:ilvl w:val="0"/>
          <w:numId w:val="15"/>
        </w:numPr>
        <w:ind w:left="284" w:hanging="284"/>
        <w:jc w:val="both"/>
        <w:outlineLvl w:val="7"/>
        <w:rPr>
          <w:rFonts w:ascii="Calibri" w:hAnsi="Calibri" w:cs="Calibri"/>
          <w:b/>
          <w:bCs/>
          <w:i/>
          <w:sz w:val="22"/>
          <w:szCs w:val="22"/>
          <w:u w:val="single"/>
        </w:rPr>
      </w:pPr>
      <w:r>
        <w:rPr>
          <w:rFonts w:ascii="Calibri" w:hAnsi="Calibri" w:cs="Calibri"/>
          <w:b/>
          <w:bCs/>
          <w:i/>
          <w:sz w:val="22"/>
          <w:szCs w:val="22"/>
          <w:u w:val="single"/>
        </w:rPr>
        <w:t>Szombathely Megyei Jogú Város Önkormányzata</w:t>
      </w:r>
      <w:r w:rsidR="00500B0C" w:rsidRPr="004D5931">
        <w:rPr>
          <w:rFonts w:ascii="Calibri" w:hAnsi="Calibri" w:cs="Calibri"/>
          <w:b/>
          <w:bCs/>
          <w:i/>
          <w:sz w:val="22"/>
          <w:szCs w:val="22"/>
          <w:u w:val="single"/>
        </w:rPr>
        <w:t xml:space="preserve"> </w:t>
      </w:r>
      <w:r w:rsidRPr="004D5931">
        <w:rPr>
          <w:rFonts w:ascii="Calibri" w:hAnsi="Calibri" w:cs="Calibri"/>
          <w:b/>
          <w:bCs/>
          <w:i/>
          <w:sz w:val="22"/>
          <w:szCs w:val="22"/>
          <w:u w:val="single"/>
        </w:rPr>
        <w:t>202</w:t>
      </w:r>
      <w:r w:rsidR="001A448A">
        <w:rPr>
          <w:rFonts w:ascii="Calibri" w:hAnsi="Calibri" w:cs="Calibri"/>
          <w:b/>
          <w:bCs/>
          <w:i/>
          <w:sz w:val="22"/>
          <w:szCs w:val="22"/>
          <w:u w:val="single"/>
        </w:rPr>
        <w:t>5</w:t>
      </w:r>
      <w:r w:rsidRPr="004D5931">
        <w:rPr>
          <w:rFonts w:ascii="Calibri" w:hAnsi="Calibri" w:cs="Calibri"/>
          <w:b/>
          <w:bCs/>
          <w:i/>
          <w:sz w:val="22"/>
          <w:szCs w:val="22"/>
          <w:u w:val="single"/>
        </w:rPr>
        <w:t xml:space="preserve">. évi költségvetésről szóló </w:t>
      </w:r>
      <w:r w:rsidR="001A448A">
        <w:rPr>
          <w:rFonts w:ascii="Calibri" w:hAnsi="Calibri" w:cs="Calibri"/>
          <w:b/>
          <w:bCs/>
          <w:i/>
          <w:sz w:val="22"/>
          <w:szCs w:val="22"/>
          <w:u w:val="single"/>
        </w:rPr>
        <w:t>4</w:t>
      </w:r>
      <w:r w:rsidRPr="004D5931">
        <w:rPr>
          <w:rFonts w:ascii="Calibri" w:hAnsi="Calibri" w:cs="Calibri"/>
          <w:b/>
          <w:bCs/>
          <w:i/>
          <w:sz w:val="22"/>
          <w:szCs w:val="22"/>
          <w:u w:val="single"/>
        </w:rPr>
        <w:t>/202</w:t>
      </w:r>
      <w:r w:rsidR="001A448A">
        <w:rPr>
          <w:rFonts w:ascii="Calibri" w:hAnsi="Calibri" w:cs="Calibri"/>
          <w:b/>
          <w:bCs/>
          <w:i/>
          <w:sz w:val="22"/>
          <w:szCs w:val="22"/>
          <w:u w:val="single"/>
        </w:rPr>
        <w:t>5</w:t>
      </w:r>
      <w:r w:rsidRPr="004D5931">
        <w:rPr>
          <w:rFonts w:ascii="Calibri" w:hAnsi="Calibri" w:cs="Calibri"/>
          <w:b/>
          <w:bCs/>
          <w:i/>
          <w:sz w:val="22"/>
          <w:szCs w:val="22"/>
          <w:u w:val="single"/>
        </w:rPr>
        <w:t>. (II.</w:t>
      </w:r>
      <w:r w:rsidR="001A448A">
        <w:rPr>
          <w:rFonts w:ascii="Calibri" w:hAnsi="Calibri" w:cs="Calibri"/>
          <w:b/>
          <w:bCs/>
          <w:i/>
          <w:sz w:val="22"/>
          <w:szCs w:val="22"/>
          <w:u w:val="single"/>
        </w:rPr>
        <w:t>28</w:t>
      </w:r>
      <w:r w:rsidRPr="004D5931">
        <w:rPr>
          <w:rFonts w:ascii="Calibri" w:hAnsi="Calibri" w:cs="Calibri"/>
          <w:b/>
          <w:bCs/>
          <w:i/>
          <w:sz w:val="22"/>
          <w:szCs w:val="22"/>
          <w:u w:val="single"/>
        </w:rPr>
        <w:t>.) számúrendelet 10. § (4) bekezdésében foglaltak alapján történt p</w:t>
      </w:r>
      <w:r w:rsidR="00500B0C" w:rsidRPr="004D5931">
        <w:rPr>
          <w:rFonts w:ascii="Calibri" w:hAnsi="Calibri" w:cs="Calibri"/>
          <w:b/>
          <w:bCs/>
          <w:i/>
          <w:sz w:val="22"/>
          <w:szCs w:val="22"/>
          <w:u w:val="single"/>
        </w:rPr>
        <w:t>olgármesteri rendelkezések</w:t>
      </w:r>
      <w:r w:rsidRPr="004D5931">
        <w:rPr>
          <w:rFonts w:ascii="Calibri" w:hAnsi="Calibri" w:cs="Calibri"/>
          <w:b/>
          <w:bCs/>
          <w:i/>
          <w:sz w:val="22"/>
          <w:szCs w:val="22"/>
          <w:u w:val="single"/>
        </w:rPr>
        <w:t>:</w:t>
      </w:r>
    </w:p>
    <w:p w14:paraId="5F19932D" w14:textId="77777777" w:rsidR="00F14011" w:rsidRDefault="00F14011" w:rsidP="00500B0C">
      <w:pPr>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500B0C" w:rsidRPr="00F14DC1" w14:paraId="72432AAB" w14:textId="77777777" w:rsidTr="00130E11">
        <w:trPr>
          <w:trHeight w:val="576"/>
        </w:trPr>
        <w:tc>
          <w:tcPr>
            <w:tcW w:w="6289" w:type="dxa"/>
            <w:tcBorders>
              <w:bottom w:val="single" w:sz="4" w:space="0" w:color="auto"/>
            </w:tcBorders>
          </w:tcPr>
          <w:p w14:paraId="17F83117"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Költségvetési előirányzat megnevezése</w:t>
            </w:r>
          </w:p>
        </w:tc>
        <w:tc>
          <w:tcPr>
            <w:tcW w:w="2239" w:type="dxa"/>
            <w:tcBorders>
              <w:bottom w:val="single" w:sz="4" w:space="0" w:color="auto"/>
            </w:tcBorders>
          </w:tcPr>
          <w:p w14:paraId="277FF0BC" w14:textId="77777777" w:rsidR="00500B0C" w:rsidRPr="00F14DC1" w:rsidRDefault="00500B0C" w:rsidP="00500B0C">
            <w:pPr>
              <w:jc w:val="center"/>
              <w:rPr>
                <w:rFonts w:ascii="Calibri" w:hAnsi="Calibri" w:cs="Calibri"/>
                <w:b/>
                <w:sz w:val="22"/>
                <w:szCs w:val="22"/>
              </w:rPr>
            </w:pPr>
            <w:r w:rsidRPr="00F14DC1">
              <w:rPr>
                <w:rFonts w:ascii="Calibri" w:hAnsi="Calibri" w:cs="Calibri"/>
                <w:b/>
                <w:sz w:val="22"/>
                <w:szCs w:val="22"/>
              </w:rPr>
              <w:t>Összeg (ezer forintban)</w:t>
            </w:r>
          </w:p>
        </w:tc>
      </w:tr>
      <w:tr w:rsidR="00500B0C" w:rsidRPr="00F14DC1" w14:paraId="5E089321" w14:textId="77777777" w:rsidTr="00746BFE">
        <w:tc>
          <w:tcPr>
            <w:tcW w:w="6289" w:type="dxa"/>
            <w:tcBorders>
              <w:top w:val="single" w:sz="12" w:space="0" w:color="auto"/>
              <w:bottom w:val="single" w:sz="4" w:space="0" w:color="auto"/>
            </w:tcBorders>
          </w:tcPr>
          <w:p w14:paraId="15C8E22D" w14:textId="4FA945B0" w:rsidR="00500B0C" w:rsidRPr="005C1D22" w:rsidRDefault="0027483F" w:rsidP="005079A1">
            <w:pPr>
              <w:jc w:val="both"/>
              <w:rPr>
                <w:rFonts w:ascii="Calibri" w:hAnsi="Calibri" w:cs="Calibri"/>
                <w:sz w:val="22"/>
                <w:szCs w:val="22"/>
              </w:rPr>
            </w:pPr>
            <w:r w:rsidRPr="0027483F">
              <w:rPr>
                <w:rFonts w:ascii="Calibri" w:hAnsi="Calibri" w:cs="Calibri"/>
                <w:sz w:val="22"/>
                <w:szCs w:val="22"/>
              </w:rPr>
              <w:t>Önkormányzati felhalmozási kiadások - Sárdi-éri iparterületen megvalósuló útfejlesztéshez kapcsolódó ingatlan kisajátítás kiadásai</w:t>
            </w:r>
          </w:p>
        </w:tc>
        <w:tc>
          <w:tcPr>
            <w:tcW w:w="2239" w:type="dxa"/>
            <w:tcBorders>
              <w:top w:val="single" w:sz="12" w:space="0" w:color="auto"/>
              <w:bottom w:val="single" w:sz="4" w:space="0" w:color="auto"/>
            </w:tcBorders>
            <w:vAlign w:val="bottom"/>
          </w:tcPr>
          <w:p w14:paraId="56999C28" w14:textId="54FEC7FD" w:rsidR="00500B0C" w:rsidRPr="005C1D22" w:rsidRDefault="001536D5" w:rsidP="00500B0C">
            <w:pPr>
              <w:jc w:val="right"/>
              <w:rPr>
                <w:rFonts w:ascii="Calibri" w:hAnsi="Calibri" w:cs="Calibri"/>
                <w:sz w:val="22"/>
                <w:szCs w:val="22"/>
              </w:rPr>
            </w:pPr>
            <w:r>
              <w:rPr>
                <w:rFonts w:ascii="Calibri" w:hAnsi="Calibri" w:cs="Calibri"/>
                <w:sz w:val="22"/>
                <w:szCs w:val="22"/>
              </w:rPr>
              <w:t>+12.600</w:t>
            </w:r>
          </w:p>
        </w:tc>
      </w:tr>
      <w:tr w:rsidR="008D201F" w:rsidRPr="00F14DC1" w14:paraId="0BE95B36" w14:textId="77777777" w:rsidTr="008D201F">
        <w:tc>
          <w:tcPr>
            <w:tcW w:w="6289" w:type="dxa"/>
            <w:tcBorders>
              <w:top w:val="single" w:sz="4" w:space="0" w:color="auto"/>
              <w:bottom w:val="single" w:sz="4" w:space="0" w:color="auto"/>
            </w:tcBorders>
          </w:tcPr>
          <w:p w14:paraId="5A57A8BB" w14:textId="3250BE9A" w:rsidR="008D201F" w:rsidRPr="005C1D22" w:rsidRDefault="0027483F" w:rsidP="005079A1">
            <w:pPr>
              <w:jc w:val="both"/>
              <w:rPr>
                <w:rFonts w:ascii="Calibri" w:hAnsi="Calibri" w:cs="Calibri"/>
                <w:sz w:val="22"/>
                <w:szCs w:val="22"/>
              </w:rPr>
            </w:pPr>
            <w:r w:rsidRPr="0027483F">
              <w:rPr>
                <w:rFonts w:ascii="Calibri" w:hAnsi="Calibri" w:cs="Calibri"/>
                <w:sz w:val="22"/>
                <w:szCs w:val="22"/>
              </w:rPr>
              <w:t>Egyéb, más ágazathoz nem sorolható intézmények és feladatok kiadásai – Egyéb kiadások</w:t>
            </w:r>
          </w:p>
        </w:tc>
        <w:tc>
          <w:tcPr>
            <w:tcW w:w="2239" w:type="dxa"/>
            <w:tcBorders>
              <w:top w:val="single" w:sz="4" w:space="0" w:color="auto"/>
              <w:bottom w:val="single" w:sz="4" w:space="0" w:color="auto"/>
            </w:tcBorders>
            <w:vAlign w:val="bottom"/>
          </w:tcPr>
          <w:p w14:paraId="6FF10212" w14:textId="5791CB42" w:rsidR="008D201F" w:rsidRPr="005C1D22" w:rsidRDefault="001536D5" w:rsidP="00500B0C">
            <w:pPr>
              <w:jc w:val="right"/>
              <w:rPr>
                <w:rFonts w:ascii="Calibri" w:hAnsi="Calibri" w:cs="Calibri"/>
                <w:sz w:val="22"/>
                <w:szCs w:val="22"/>
              </w:rPr>
            </w:pPr>
            <w:r>
              <w:rPr>
                <w:rFonts w:ascii="Calibri" w:hAnsi="Calibri" w:cs="Calibri"/>
                <w:sz w:val="22"/>
                <w:szCs w:val="22"/>
              </w:rPr>
              <w:t>-1.000</w:t>
            </w:r>
          </w:p>
        </w:tc>
      </w:tr>
      <w:tr w:rsidR="00500B0C" w:rsidRPr="00F14DC1" w14:paraId="6BC8C166" w14:textId="77777777" w:rsidTr="00746BFE">
        <w:tc>
          <w:tcPr>
            <w:tcW w:w="6289" w:type="dxa"/>
            <w:tcBorders>
              <w:top w:val="single" w:sz="4" w:space="0" w:color="auto"/>
              <w:bottom w:val="single" w:sz="12" w:space="0" w:color="auto"/>
            </w:tcBorders>
          </w:tcPr>
          <w:p w14:paraId="0A0148B6" w14:textId="4FFDC9E7" w:rsidR="00500B0C" w:rsidRPr="005C1D22" w:rsidRDefault="0027483F" w:rsidP="005079A1">
            <w:pPr>
              <w:jc w:val="both"/>
              <w:rPr>
                <w:rFonts w:ascii="Calibri" w:hAnsi="Calibri" w:cs="Calibri"/>
                <w:sz w:val="22"/>
                <w:szCs w:val="22"/>
              </w:rPr>
            </w:pPr>
            <w:r w:rsidRPr="0027483F">
              <w:rPr>
                <w:rFonts w:ascii="Calibri" w:hAnsi="Calibri" w:cs="Calibri"/>
                <w:sz w:val="22"/>
                <w:szCs w:val="22"/>
              </w:rPr>
              <w:t xml:space="preserve">Egyéb, más ágazathoz nem sorolható intézmények és feladatok kiadásai – </w:t>
            </w:r>
            <w:r>
              <w:rPr>
                <w:rFonts w:ascii="Calibri" w:hAnsi="Calibri" w:cs="Calibri"/>
                <w:sz w:val="22"/>
                <w:szCs w:val="22"/>
              </w:rPr>
              <w:t>Önkormányzat működéséhez kapcsolódó, jogszabályon alapuló kiadások, egyéb kiadások</w:t>
            </w:r>
          </w:p>
        </w:tc>
        <w:tc>
          <w:tcPr>
            <w:tcW w:w="2239" w:type="dxa"/>
            <w:tcBorders>
              <w:top w:val="single" w:sz="4" w:space="0" w:color="auto"/>
              <w:bottom w:val="single" w:sz="12" w:space="0" w:color="auto"/>
            </w:tcBorders>
            <w:vAlign w:val="bottom"/>
          </w:tcPr>
          <w:p w14:paraId="6E4F1AEC" w14:textId="79FF85DF" w:rsidR="00500B0C" w:rsidRPr="005C1D22" w:rsidRDefault="001536D5" w:rsidP="00500B0C">
            <w:pPr>
              <w:jc w:val="right"/>
              <w:rPr>
                <w:rFonts w:ascii="Calibri" w:hAnsi="Calibri" w:cs="Calibri"/>
                <w:sz w:val="22"/>
                <w:szCs w:val="22"/>
              </w:rPr>
            </w:pPr>
            <w:r>
              <w:rPr>
                <w:rFonts w:ascii="Calibri" w:hAnsi="Calibri" w:cs="Calibri"/>
                <w:sz w:val="22"/>
                <w:szCs w:val="22"/>
              </w:rPr>
              <w:t>-11.600</w:t>
            </w:r>
          </w:p>
        </w:tc>
      </w:tr>
      <w:tr w:rsidR="00AD4DFE" w:rsidRPr="00F14DC1" w14:paraId="64D14DB6" w14:textId="77777777" w:rsidTr="00144257">
        <w:tc>
          <w:tcPr>
            <w:tcW w:w="6289" w:type="dxa"/>
            <w:tcBorders>
              <w:top w:val="single" w:sz="12" w:space="0" w:color="auto"/>
              <w:bottom w:val="single" w:sz="4" w:space="0" w:color="auto"/>
            </w:tcBorders>
          </w:tcPr>
          <w:p w14:paraId="0FB05507" w14:textId="24C7D64D" w:rsidR="00AD4DFE" w:rsidRPr="005C1D22" w:rsidRDefault="000529D1" w:rsidP="005079A1">
            <w:pPr>
              <w:jc w:val="both"/>
              <w:rPr>
                <w:rFonts w:ascii="Calibri" w:hAnsi="Calibri" w:cs="Calibri"/>
                <w:sz w:val="22"/>
                <w:szCs w:val="22"/>
              </w:rPr>
            </w:pPr>
            <w:r w:rsidRPr="000529D1">
              <w:rPr>
                <w:rFonts w:ascii="Calibri" w:hAnsi="Calibri" w:cs="Calibri"/>
                <w:sz w:val="22"/>
                <w:szCs w:val="22"/>
              </w:rPr>
              <w:t>Szombathelyi Köznevelési GAMESZ -</w:t>
            </w:r>
          </w:p>
        </w:tc>
        <w:tc>
          <w:tcPr>
            <w:tcW w:w="2239" w:type="dxa"/>
            <w:tcBorders>
              <w:top w:val="single" w:sz="12" w:space="0" w:color="auto"/>
              <w:bottom w:val="single" w:sz="4" w:space="0" w:color="auto"/>
            </w:tcBorders>
            <w:vAlign w:val="bottom"/>
          </w:tcPr>
          <w:p w14:paraId="7ABAA177" w14:textId="71E3BDC3" w:rsidR="00AD4DFE" w:rsidRPr="005C1D22" w:rsidRDefault="001536D5" w:rsidP="00500B0C">
            <w:pPr>
              <w:jc w:val="right"/>
              <w:rPr>
                <w:rFonts w:ascii="Calibri" w:hAnsi="Calibri" w:cs="Calibri"/>
                <w:sz w:val="22"/>
                <w:szCs w:val="22"/>
              </w:rPr>
            </w:pPr>
            <w:r>
              <w:rPr>
                <w:rFonts w:ascii="Calibri" w:hAnsi="Calibri" w:cs="Calibri"/>
                <w:sz w:val="22"/>
                <w:szCs w:val="22"/>
              </w:rPr>
              <w:t>+1.020</w:t>
            </w:r>
          </w:p>
        </w:tc>
      </w:tr>
      <w:tr w:rsidR="0027483F" w:rsidRPr="00F14DC1" w14:paraId="00F4CDE3" w14:textId="77777777" w:rsidTr="0027483F">
        <w:tc>
          <w:tcPr>
            <w:tcW w:w="6289" w:type="dxa"/>
            <w:tcBorders>
              <w:top w:val="single" w:sz="4" w:space="0" w:color="auto"/>
              <w:bottom w:val="single" w:sz="4" w:space="0" w:color="auto"/>
            </w:tcBorders>
          </w:tcPr>
          <w:p w14:paraId="5526B683" w14:textId="65C42ACF" w:rsidR="0027483F" w:rsidRPr="005C1D22" w:rsidRDefault="000529D1" w:rsidP="005079A1">
            <w:pPr>
              <w:jc w:val="both"/>
              <w:rPr>
                <w:rFonts w:ascii="Calibri" w:hAnsi="Calibri" w:cs="Calibri"/>
                <w:sz w:val="22"/>
                <w:szCs w:val="22"/>
              </w:rPr>
            </w:pPr>
            <w:r w:rsidRPr="000529D1">
              <w:rPr>
                <w:rFonts w:ascii="Calibri" w:hAnsi="Calibri" w:cs="Calibri"/>
                <w:sz w:val="22"/>
                <w:szCs w:val="22"/>
              </w:rPr>
              <w:t>Egységes ügyiratkezelő szoftver az önkormányzat által működtetett intézményekben</w:t>
            </w:r>
          </w:p>
        </w:tc>
        <w:tc>
          <w:tcPr>
            <w:tcW w:w="2239" w:type="dxa"/>
            <w:tcBorders>
              <w:top w:val="single" w:sz="4" w:space="0" w:color="auto"/>
              <w:bottom w:val="single" w:sz="4" w:space="0" w:color="auto"/>
            </w:tcBorders>
            <w:vAlign w:val="bottom"/>
          </w:tcPr>
          <w:p w14:paraId="493492E9" w14:textId="3478D4DC" w:rsidR="0027483F" w:rsidRPr="005C1D22" w:rsidRDefault="001536D5" w:rsidP="00500B0C">
            <w:pPr>
              <w:jc w:val="right"/>
              <w:rPr>
                <w:rFonts w:ascii="Calibri" w:hAnsi="Calibri" w:cs="Calibri"/>
                <w:sz w:val="22"/>
                <w:szCs w:val="22"/>
              </w:rPr>
            </w:pPr>
            <w:r>
              <w:rPr>
                <w:rFonts w:ascii="Calibri" w:hAnsi="Calibri" w:cs="Calibri"/>
                <w:sz w:val="22"/>
                <w:szCs w:val="22"/>
              </w:rPr>
              <w:t>-219</w:t>
            </w:r>
          </w:p>
        </w:tc>
      </w:tr>
      <w:tr w:rsidR="0027483F" w:rsidRPr="00F14DC1" w14:paraId="00CD5FD4" w14:textId="77777777" w:rsidTr="0027483F">
        <w:tc>
          <w:tcPr>
            <w:tcW w:w="6289" w:type="dxa"/>
            <w:tcBorders>
              <w:top w:val="single" w:sz="4" w:space="0" w:color="auto"/>
              <w:bottom w:val="single" w:sz="4" w:space="0" w:color="auto"/>
            </w:tcBorders>
          </w:tcPr>
          <w:p w14:paraId="0217ADDE" w14:textId="645ABFF3" w:rsidR="0027483F" w:rsidRPr="005C1D22" w:rsidRDefault="000529D1" w:rsidP="005079A1">
            <w:pPr>
              <w:jc w:val="both"/>
              <w:rPr>
                <w:rFonts w:ascii="Calibri" w:hAnsi="Calibri" w:cs="Calibri"/>
                <w:sz w:val="22"/>
                <w:szCs w:val="22"/>
              </w:rPr>
            </w:pPr>
            <w:r w:rsidRPr="000529D1">
              <w:rPr>
                <w:rFonts w:ascii="Calibri" w:hAnsi="Calibri" w:cs="Calibri"/>
                <w:sz w:val="22"/>
                <w:szCs w:val="22"/>
              </w:rPr>
              <w:t>Internet alapú városi hálózat</w:t>
            </w:r>
          </w:p>
        </w:tc>
        <w:tc>
          <w:tcPr>
            <w:tcW w:w="2239" w:type="dxa"/>
            <w:tcBorders>
              <w:top w:val="single" w:sz="4" w:space="0" w:color="auto"/>
              <w:bottom w:val="single" w:sz="4" w:space="0" w:color="auto"/>
            </w:tcBorders>
            <w:vAlign w:val="bottom"/>
          </w:tcPr>
          <w:p w14:paraId="6175D731" w14:textId="52CA49B2" w:rsidR="0027483F" w:rsidRPr="005C1D22" w:rsidRDefault="001536D5" w:rsidP="00500B0C">
            <w:pPr>
              <w:jc w:val="right"/>
              <w:rPr>
                <w:rFonts w:ascii="Calibri" w:hAnsi="Calibri" w:cs="Calibri"/>
                <w:sz w:val="22"/>
                <w:szCs w:val="22"/>
              </w:rPr>
            </w:pPr>
            <w:r>
              <w:rPr>
                <w:rFonts w:ascii="Calibri" w:hAnsi="Calibri" w:cs="Calibri"/>
                <w:sz w:val="22"/>
                <w:szCs w:val="22"/>
              </w:rPr>
              <w:t>-79</w:t>
            </w:r>
          </w:p>
        </w:tc>
      </w:tr>
      <w:tr w:rsidR="0027483F" w:rsidRPr="00F14DC1" w14:paraId="01D78A8A" w14:textId="77777777" w:rsidTr="0027483F">
        <w:tc>
          <w:tcPr>
            <w:tcW w:w="6289" w:type="dxa"/>
            <w:tcBorders>
              <w:top w:val="single" w:sz="4" w:space="0" w:color="auto"/>
              <w:bottom w:val="single" w:sz="4" w:space="0" w:color="auto"/>
            </w:tcBorders>
          </w:tcPr>
          <w:p w14:paraId="4031D572" w14:textId="72EDEF46" w:rsidR="0027483F" w:rsidRPr="005C1D22" w:rsidRDefault="000529D1" w:rsidP="005079A1">
            <w:pPr>
              <w:jc w:val="both"/>
              <w:rPr>
                <w:rFonts w:ascii="Calibri" w:hAnsi="Calibri" w:cs="Calibri"/>
                <w:sz w:val="22"/>
                <w:szCs w:val="22"/>
              </w:rPr>
            </w:pPr>
            <w:r w:rsidRPr="000529D1">
              <w:rPr>
                <w:rFonts w:ascii="Calibri" w:hAnsi="Calibri" w:cs="Calibri"/>
                <w:sz w:val="22"/>
                <w:szCs w:val="22"/>
              </w:rPr>
              <w:t>Ekata rendszer havi díj</w:t>
            </w:r>
          </w:p>
        </w:tc>
        <w:tc>
          <w:tcPr>
            <w:tcW w:w="2239" w:type="dxa"/>
            <w:tcBorders>
              <w:top w:val="single" w:sz="4" w:space="0" w:color="auto"/>
              <w:bottom w:val="single" w:sz="4" w:space="0" w:color="auto"/>
            </w:tcBorders>
            <w:vAlign w:val="bottom"/>
          </w:tcPr>
          <w:p w14:paraId="52D649BC" w14:textId="2A9DD30A" w:rsidR="0027483F" w:rsidRPr="005C1D22" w:rsidRDefault="001536D5" w:rsidP="00500B0C">
            <w:pPr>
              <w:jc w:val="right"/>
              <w:rPr>
                <w:rFonts w:ascii="Calibri" w:hAnsi="Calibri" w:cs="Calibri"/>
                <w:sz w:val="22"/>
                <w:szCs w:val="22"/>
              </w:rPr>
            </w:pPr>
            <w:r>
              <w:rPr>
                <w:rFonts w:ascii="Calibri" w:hAnsi="Calibri" w:cs="Calibri"/>
                <w:sz w:val="22"/>
                <w:szCs w:val="22"/>
              </w:rPr>
              <w:t>-184</w:t>
            </w:r>
          </w:p>
        </w:tc>
      </w:tr>
      <w:tr w:rsidR="0027483F" w:rsidRPr="00F14DC1" w14:paraId="4A438B4A" w14:textId="77777777" w:rsidTr="0027483F">
        <w:tc>
          <w:tcPr>
            <w:tcW w:w="6289" w:type="dxa"/>
            <w:tcBorders>
              <w:top w:val="single" w:sz="4" w:space="0" w:color="auto"/>
              <w:bottom w:val="single" w:sz="4" w:space="0" w:color="auto"/>
            </w:tcBorders>
          </w:tcPr>
          <w:p w14:paraId="6926B843" w14:textId="1E7F0DE1" w:rsidR="0027483F" w:rsidRPr="005C1D22" w:rsidRDefault="000529D1" w:rsidP="005079A1">
            <w:pPr>
              <w:jc w:val="both"/>
              <w:rPr>
                <w:rFonts w:ascii="Calibri" w:hAnsi="Calibri" w:cs="Calibri"/>
                <w:sz w:val="22"/>
                <w:szCs w:val="22"/>
              </w:rPr>
            </w:pPr>
            <w:r w:rsidRPr="000529D1">
              <w:rPr>
                <w:rFonts w:ascii="Calibri" w:hAnsi="Calibri" w:cs="Calibri"/>
                <w:sz w:val="22"/>
                <w:szCs w:val="22"/>
              </w:rPr>
              <w:t>Integrált pénzügyi rendszer üzemeltetés az intézményekben</w:t>
            </w:r>
          </w:p>
        </w:tc>
        <w:tc>
          <w:tcPr>
            <w:tcW w:w="2239" w:type="dxa"/>
            <w:tcBorders>
              <w:top w:val="single" w:sz="4" w:space="0" w:color="auto"/>
              <w:bottom w:val="single" w:sz="4" w:space="0" w:color="auto"/>
            </w:tcBorders>
            <w:vAlign w:val="bottom"/>
          </w:tcPr>
          <w:p w14:paraId="0D77DC1A" w14:textId="24733E9C" w:rsidR="0027483F" w:rsidRPr="005C1D22" w:rsidRDefault="001536D5" w:rsidP="00500B0C">
            <w:pPr>
              <w:jc w:val="right"/>
              <w:rPr>
                <w:rFonts w:ascii="Calibri" w:hAnsi="Calibri" w:cs="Calibri"/>
                <w:sz w:val="22"/>
                <w:szCs w:val="22"/>
              </w:rPr>
            </w:pPr>
            <w:r>
              <w:rPr>
                <w:rFonts w:ascii="Calibri" w:hAnsi="Calibri" w:cs="Calibri"/>
                <w:sz w:val="22"/>
                <w:szCs w:val="22"/>
              </w:rPr>
              <w:t>-370</w:t>
            </w:r>
          </w:p>
        </w:tc>
      </w:tr>
      <w:tr w:rsidR="0027483F" w:rsidRPr="00F14DC1" w14:paraId="21461657" w14:textId="77777777" w:rsidTr="0027483F">
        <w:tc>
          <w:tcPr>
            <w:tcW w:w="6289" w:type="dxa"/>
            <w:tcBorders>
              <w:top w:val="single" w:sz="4" w:space="0" w:color="auto"/>
              <w:bottom w:val="single" w:sz="4" w:space="0" w:color="auto"/>
            </w:tcBorders>
          </w:tcPr>
          <w:p w14:paraId="5C79C89E" w14:textId="6CB527F3" w:rsidR="0027483F" w:rsidRPr="005C1D22" w:rsidRDefault="000529D1" w:rsidP="000973FD">
            <w:pPr>
              <w:jc w:val="both"/>
              <w:rPr>
                <w:rFonts w:ascii="Calibri" w:hAnsi="Calibri" w:cs="Calibri"/>
                <w:sz w:val="22"/>
                <w:szCs w:val="22"/>
              </w:rPr>
            </w:pPr>
            <w:r w:rsidRPr="000529D1">
              <w:rPr>
                <w:rFonts w:ascii="Calibri" w:hAnsi="Calibri" w:cs="Calibri"/>
                <w:sz w:val="22"/>
                <w:szCs w:val="22"/>
              </w:rPr>
              <w:t>VDKSZ működtetés</w:t>
            </w:r>
          </w:p>
        </w:tc>
        <w:tc>
          <w:tcPr>
            <w:tcW w:w="2239" w:type="dxa"/>
            <w:tcBorders>
              <w:top w:val="single" w:sz="4" w:space="0" w:color="auto"/>
              <w:bottom w:val="single" w:sz="4" w:space="0" w:color="auto"/>
            </w:tcBorders>
            <w:vAlign w:val="bottom"/>
          </w:tcPr>
          <w:p w14:paraId="471239F4" w14:textId="52B779F8" w:rsidR="0027483F" w:rsidRPr="005C1D22" w:rsidRDefault="001536D5" w:rsidP="00500B0C">
            <w:pPr>
              <w:jc w:val="right"/>
              <w:rPr>
                <w:rFonts w:ascii="Calibri" w:hAnsi="Calibri" w:cs="Calibri"/>
                <w:sz w:val="22"/>
                <w:szCs w:val="22"/>
              </w:rPr>
            </w:pPr>
            <w:r>
              <w:rPr>
                <w:rFonts w:ascii="Calibri" w:hAnsi="Calibri" w:cs="Calibri"/>
                <w:sz w:val="22"/>
                <w:szCs w:val="22"/>
              </w:rPr>
              <w:t>-84</w:t>
            </w:r>
          </w:p>
        </w:tc>
      </w:tr>
      <w:tr w:rsidR="00AD4DFE" w:rsidRPr="00F14DC1" w14:paraId="2C5FD2FF" w14:textId="77777777" w:rsidTr="00144257">
        <w:tc>
          <w:tcPr>
            <w:tcW w:w="6289" w:type="dxa"/>
            <w:tcBorders>
              <w:top w:val="single" w:sz="4" w:space="0" w:color="auto"/>
              <w:bottom w:val="single" w:sz="12" w:space="0" w:color="auto"/>
            </w:tcBorders>
          </w:tcPr>
          <w:p w14:paraId="4C9F2625" w14:textId="1AE1A9BF" w:rsidR="00AD4DFE" w:rsidRPr="005C1D22" w:rsidRDefault="000529D1" w:rsidP="00CB6DA3">
            <w:pPr>
              <w:jc w:val="both"/>
              <w:rPr>
                <w:rFonts w:ascii="Calibri" w:hAnsi="Calibri" w:cs="Calibri"/>
                <w:sz w:val="22"/>
                <w:szCs w:val="22"/>
              </w:rPr>
            </w:pPr>
            <w:r w:rsidRPr="000529D1">
              <w:rPr>
                <w:rFonts w:ascii="Calibri" w:hAnsi="Calibri" w:cs="Calibri"/>
                <w:sz w:val="22"/>
                <w:szCs w:val="22"/>
              </w:rPr>
              <w:t>Szombathelypont működtetés</w:t>
            </w:r>
          </w:p>
        </w:tc>
        <w:tc>
          <w:tcPr>
            <w:tcW w:w="2239" w:type="dxa"/>
            <w:tcBorders>
              <w:top w:val="single" w:sz="4" w:space="0" w:color="auto"/>
              <w:bottom w:val="single" w:sz="12" w:space="0" w:color="auto"/>
            </w:tcBorders>
            <w:vAlign w:val="bottom"/>
          </w:tcPr>
          <w:p w14:paraId="108729EB" w14:textId="251EAA2D" w:rsidR="00AD4DFE" w:rsidRPr="005C1D22" w:rsidRDefault="001536D5" w:rsidP="00500B0C">
            <w:pPr>
              <w:jc w:val="right"/>
              <w:rPr>
                <w:rFonts w:ascii="Calibri" w:hAnsi="Calibri" w:cs="Calibri"/>
                <w:sz w:val="22"/>
                <w:szCs w:val="22"/>
              </w:rPr>
            </w:pPr>
            <w:r>
              <w:rPr>
                <w:rFonts w:ascii="Calibri" w:hAnsi="Calibri" w:cs="Calibri"/>
                <w:sz w:val="22"/>
                <w:szCs w:val="22"/>
              </w:rPr>
              <w:t>-84</w:t>
            </w:r>
          </w:p>
        </w:tc>
      </w:tr>
      <w:tr w:rsidR="00AD4DFE" w:rsidRPr="00F14DC1" w14:paraId="3B89D5A0" w14:textId="77777777" w:rsidTr="00EF42E0">
        <w:tc>
          <w:tcPr>
            <w:tcW w:w="6289" w:type="dxa"/>
            <w:tcBorders>
              <w:top w:val="single" w:sz="12" w:space="0" w:color="auto"/>
              <w:bottom w:val="single" w:sz="4" w:space="0" w:color="auto"/>
            </w:tcBorders>
          </w:tcPr>
          <w:p w14:paraId="13A36759" w14:textId="5398970B" w:rsidR="00AD4DFE" w:rsidRPr="005C1D22" w:rsidRDefault="000529D1" w:rsidP="00500B0C">
            <w:pPr>
              <w:rPr>
                <w:rFonts w:ascii="Calibri" w:hAnsi="Calibri" w:cs="Calibri"/>
                <w:sz w:val="22"/>
                <w:szCs w:val="22"/>
              </w:rPr>
            </w:pPr>
            <w:r w:rsidRPr="000529D1">
              <w:rPr>
                <w:rFonts w:ascii="Calibri" w:hAnsi="Calibri" w:cs="Calibri"/>
                <w:sz w:val="22"/>
                <w:szCs w:val="22"/>
              </w:rPr>
              <w:t>Oktatási ágazat kiadásai – Fonyódi gyermektábor</w:t>
            </w:r>
          </w:p>
        </w:tc>
        <w:tc>
          <w:tcPr>
            <w:tcW w:w="2239" w:type="dxa"/>
            <w:tcBorders>
              <w:top w:val="single" w:sz="12" w:space="0" w:color="auto"/>
              <w:bottom w:val="single" w:sz="4" w:space="0" w:color="auto"/>
            </w:tcBorders>
            <w:vAlign w:val="bottom"/>
          </w:tcPr>
          <w:p w14:paraId="7EC08A62" w14:textId="76CF62FF" w:rsidR="00AD4DFE" w:rsidRPr="005C1D22" w:rsidRDefault="001536D5" w:rsidP="00500B0C">
            <w:pPr>
              <w:jc w:val="right"/>
              <w:rPr>
                <w:rFonts w:ascii="Calibri" w:hAnsi="Calibri" w:cs="Calibri"/>
                <w:sz w:val="22"/>
                <w:szCs w:val="22"/>
              </w:rPr>
            </w:pPr>
            <w:r>
              <w:rPr>
                <w:rFonts w:ascii="Calibri" w:hAnsi="Calibri" w:cs="Calibri"/>
                <w:sz w:val="22"/>
                <w:szCs w:val="22"/>
              </w:rPr>
              <w:t>+800</w:t>
            </w:r>
          </w:p>
        </w:tc>
      </w:tr>
      <w:tr w:rsidR="00EF42E0" w:rsidRPr="00F14DC1" w14:paraId="2A25EE4F" w14:textId="77777777" w:rsidTr="00EF42E0">
        <w:tc>
          <w:tcPr>
            <w:tcW w:w="6289" w:type="dxa"/>
            <w:tcBorders>
              <w:top w:val="single" w:sz="4" w:space="0" w:color="auto"/>
              <w:bottom w:val="single" w:sz="12" w:space="0" w:color="auto"/>
            </w:tcBorders>
          </w:tcPr>
          <w:p w14:paraId="1348C891" w14:textId="1438A472" w:rsidR="00EF42E0" w:rsidRPr="005C1D22" w:rsidRDefault="000529D1" w:rsidP="00500B0C">
            <w:pPr>
              <w:rPr>
                <w:rFonts w:ascii="Calibri" w:hAnsi="Calibri" w:cs="Calibri"/>
                <w:sz w:val="22"/>
                <w:szCs w:val="22"/>
              </w:rPr>
            </w:pPr>
            <w:r w:rsidRPr="000529D1">
              <w:rPr>
                <w:rFonts w:ascii="Calibri" w:hAnsi="Calibri" w:cs="Calibri"/>
                <w:sz w:val="22"/>
                <w:szCs w:val="22"/>
              </w:rPr>
              <w:t>Szociális ágazat kiadásai – Segély önkormányzati támogatásból</w:t>
            </w:r>
          </w:p>
        </w:tc>
        <w:tc>
          <w:tcPr>
            <w:tcW w:w="2239" w:type="dxa"/>
            <w:tcBorders>
              <w:top w:val="single" w:sz="4" w:space="0" w:color="auto"/>
              <w:bottom w:val="single" w:sz="12" w:space="0" w:color="auto"/>
            </w:tcBorders>
            <w:vAlign w:val="bottom"/>
          </w:tcPr>
          <w:p w14:paraId="6A431267" w14:textId="67687719" w:rsidR="00EF42E0" w:rsidRPr="005C1D22" w:rsidRDefault="001536D5" w:rsidP="00500B0C">
            <w:pPr>
              <w:jc w:val="right"/>
              <w:rPr>
                <w:rFonts w:ascii="Calibri" w:hAnsi="Calibri" w:cs="Calibri"/>
                <w:sz w:val="22"/>
                <w:szCs w:val="22"/>
              </w:rPr>
            </w:pPr>
            <w:r>
              <w:rPr>
                <w:rFonts w:ascii="Calibri" w:hAnsi="Calibri" w:cs="Calibri"/>
                <w:sz w:val="22"/>
                <w:szCs w:val="22"/>
              </w:rPr>
              <w:t>-800</w:t>
            </w:r>
          </w:p>
        </w:tc>
      </w:tr>
      <w:tr w:rsidR="00422F90" w:rsidRPr="00F14DC1" w14:paraId="1A955A55" w14:textId="77777777" w:rsidTr="00EF42E0">
        <w:tc>
          <w:tcPr>
            <w:tcW w:w="6289" w:type="dxa"/>
            <w:tcBorders>
              <w:top w:val="single" w:sz="12" w:space="0" w:color="auto"/>
            </w:tcBorders>
          </w:tcPr>
          <w:p w14:paraId="0C340DF7" w14:textId="057A4CBB" w:rsidR="00EF42E0" w:rsidRPr="005C1D22" w:rsidRDefault="000529D1" w:rsidP="00500B0C">
            <w:pPr>
              <w:rPr>
                <w:rFonts w:ascii="Calibri" w:hAnsi="Calibri" w:cs="Calibri"/>
                <w:sz w:val="22"/>
                <w:szCs w:val="22"/>
              </w:rPr>
            </w:pPr>
            <w:r w:rsidRPr="000529D1">
              <w:rPr>
                <w:rFonts w:ascii="Calibri" w:hAnsi="Calibri" w:cs="Calibri"/>
                <w:sz w:val="22"/>
                <w:szCs w:val="22"/>
              </w:rPr>
              <w:t>Tartalék - városi cégek, intézmények, szolgáltatások működésére</w:t>
            </w:r>
          </w:p>
        </w:tc>
        <w:tc>
          <w:tcPr>
            <w:tcW w:w="2239" w:type="dxa"/>
            <w:tcBorders>
              <w:top w:val="single" w:sz="12" w:space="0" w:color="auto"/>
            </w:tcBorders>
          </w:tcPr>
          <w:p w14:paraId="534509CA" w14:textId="78A636DC" w:rsidR="005F260E" w:rsidRPr="005C1D22" w:rsidRDefault="001536D5" w:rsidP="00EF42E0">
            <w:pPr>
              <w:jc w:val="right"/>
              <w:rPr>
                <w:rFonts w:ascii="Calibri" w:hAnsi="Calibri" w:cs="Calibri"/>
                <w:sz w:val="22"/>
                <w:szCs w:val="22"/>
              </w:rPr>
            </w:pPr>
            <w:r>
              <w:rPr>
                <w:rFonts w:ascii="Calibri" w:hAnsi="Calibri" w:cs="Calibri"/>
                <w:sz w:val="22"/>
                <w:szCs w:val="22"/>
              </w:rPr>
              <w:t>-85.000</w:t>
            </w:r>
          </w:p>
        </w:tc>
      </w:tr>
      <w:tr w:rsidR="0003036E" w:rsidRPr="00F14DC1" w14:paraId="300E5DA1" w14:textId="77777777" w:rsidTr="000529D1">
        <w:tc>
          <w:tcPr>
            <w:tcW w:w="6289" w:type="dxa"/>
            <w:tcBorders>
              <w:top w:val="single" w:sz="4" w:space="0" w:color="auto"/>
              <w:bottom w:val="single" w:sz="12" w:space="0" w:color="auto"/>
            </w:tcBorders>
          </w:tcPr>
          <w:p w14:paraId="0051E367" w14:textId="166A52AF" w:rsidR="0003036E" w:rsidRPr="005C1D22" w:rsidRDefault="000529D1" w:rsidP="005F260E">
            <w:pPr>
              <w:rPr>
                <w:rFonts w:ascii="Calibri" w:hAnsi="Calibri" w:cs="Calibri"/>
                <w:sz w:val="22"/>
                <w:szCs w:val="22"/>
              </w:rPr>
            </w:pPr>
            <w:r w:rsidRPr="000529D1">
              <w:rPr>
                <w:rFonts w:ascii="Calibri" w:hAnsi="Calibri" w:cs="Calibri"/>
                <w:sz w:val="22"/>
                <w:szCs w:val="22"/>
              </w:rPr>
              <w:t>Sport ágazat kiadásai - FALCO KC Kft. támogatása</w:t>
            </w:r>
          </w:p>
        </w:tc>
        <w:tc>
          <w:tcPr>
            <w:tcW w:w="2239" w:type="dxa"/>
            <w:tcBorders>
              <w:top w:val="single" w:sz="4" w:space="0" w:color="auto"/>
              <w:bottom w:val="single" w:sz="12" w:space="0" w:color="auto"/>
            </w:tcBorders>
          </w:tcPr>
          <w:p w14:paraId="608D8403" w14:textId="1D9F0597" w:rsidR="00AA483E" w:rsidRPr="005C1D22" w:rsidRDefault="001536D5" w:rsidP="005F260E">
            <w:pPr>
              <w:ind w:left="720"/>
              <w:jc w:val="right"/>
              <w:rPr>
                <w:rFonts w:ascii="Calibri" w:hAnsi="Calibri" w:cs="Calibri"/>
                <w:sz w:val="22"/>
                <w:szCs w:val="22"/>
              </w:rPr>
            </w:pPr>
            <w:r>
              <w:rPr>
                <w:rFonts w:ascii="Calibri" w:hAnsi="Calibri" w:cs="Calibri"/>
                <w:sz w:val="22"/>
                <w:szCs w:val="22"/>
              </w:rPr>
              <w:t>+85.000</w:t>
            </w:r>
          </w:p>
        </w:tc>
      </w:tr>
      <w:tr w:rsidR="000529D1" w:rsidRPr="00F14DC1" w14:paraId="26CCC338" w14:textId="77777777" w:rsidTr="000529D1">
        <w:tc>
          <w:tcPr>
            <w:tcW w:w="6289" w:type="dxa"/>
            <w:tcBorders>
              <w:top w:val="single" w:sz="12" w:space="0" w:color="auto"/>
              <w:bottom w:val="single" w:sz="4" w:space="0" w:color="auto"/>
            </w:tcBorders>
          </w:tcPr>
          <w:p w14:paraId="0A13D6E4" w14:textId="786B84FA" w:rsidR="000529D1" w:rsidRPr="000529D1" w:rsidRDefault="0085124A" w:rsidP="005F260E">
            <w:pPr>
              <w:rPr>
                <w:rFonts w:ascii="Calibri" w:hAnsi="Calibri" w:cs="Calibri"/>
                <w:sz w:val="22"/>
                <w:szCs w:val="22"/>
              </w:rPr>
            </w:pPr>
            <w:r w:rsidRPr="0085124A">
              <w:rPr>
                <w:rFonts w:ascii="Calibri" w:hAnsi="Calibri" w:cs="Calibri"/>
                <w:sz w:val="22"/>
                <w:szCs w:val="22"/>
              </w:rPr>
              <w:t xml:space="preserve">Tartalék - városi cégek, intézmények, szolgáltatások működésére </w:t>
            </w:r>
          </w:p>
        </w:tc>
        <w:tc>
          <w:tcPr>
            <w:tcW w:w="2239" w:type="dxa"/>
            <w:tcBorders>
              <w:top w:val="single" w:sz="12" w:space="0" w:color="auto"/>
              <w:bottom w:val="single" w:sz="4" w:space="0" w:color="auto"/>
            </w:tcBorders>
          </w:tcPr>
          <w:p w14:paraId="36279004" w14:textId="087F0394" w:rsidR="000529D1" w:rsidRPr="005C1D22" w:rsidRDefault="001536D5" w:rsidP="005F260E">
            <w:pPr>
              <w:ind w:left="720"/>
              <w:jc w:val="right"/>
              <w:rPr>
                <w:rFonts w:ascii="Calibri" w:hAnsi="Calibri" w:cs="Calibri"/>
                <w:sz w:val="22"/>
                <w:szCs w:val="22"/>
              </w:rPr>
            </w:pPr>
            <w:r>
              <w:rPr>
                <w:rFonts w:ascii="Calibri" w:hAnsi="Calibri" w:cs="Calibri"/>
                <w:sz w:val="22"/>
                <w:szCs w:val="22"/>
              </w:rPr>
              <w:t>-100.000</w:t>
            </w:r>
          </w:p>
        </w:tc>
      </w:tr>
      <w:tr w:rsidR="000529D1" w:rsidRPr="00F14DC1" w14:paraId="44C3A6FE" w14:textId="77777777" w:rsidTr="0085124A">
        <w:tc>
          <w:tcPr>
            <w:tcW w:w="6289" w:type="dxa"/>
            <w:tcBorders>
              <w:top w:val="single" w:sz="4" w:space="0" w:color="auto"/>
              <w:bottom w:val="single" w:sz="12" w:space="0" w:color="auto"/>
            </w:tcBorders>
          </w:tcPr>
          <w:p w14:paraId="6FB2898E" w14:textId="0312362E" w:rsidR="000529D1" w:rsidRPr="000529D1" w:rsidRDefault="0085124A" w:rsidP="000973FD">
            <w:pPr>
              <w:rPr>
                <w:rFonts w:ascii="Calibri" w:hAnsi="Calibri" w:cs="Calibri"/>
                <w:sz w:val="22"/>
                <w:szCs w:val="22"/>
              </w:rPr>
            </w:pPr>
            <w:r w:rsidRPr="0085124A">
              <w:rPr>
                <w:rFonts w:ascii="Calibri" w:hAnsi="Calibri" w:cs="Calibri"/>
                <w:sz w:val="22"/>
                <w:szCs w:val="22"/>
              </w:rPr>
              <w:t>VASIVÍZ ZRt.- Szombathelyi Fedett Uszoda és Termálfürdő működési támogatása</w:t>
            </w:r>
          </w:p>
        </w:tc>
        <w:tc>
          <w:tcPr>
            <w:tcW w:w="2239" w:type="dxa"/>
            <w:tcBorders>
              <w:top w:val="single" w:sz="4" w:space="0" w:color="auto"/>
              <w:bottom w:val="single" w:sz="12" w:space="0" w:color="auto"/>
            </w:tcBorders>
          </w:tcPr>
          <w:p w14:paraId="65146C52" w14:textId="77777777" w:rsidR="001536D5" w:rsidRDefault="001536D5" w:rsidP="005F260E">
            <w:pPr>
              <w:ind w:left="720"/>
              <w:jc w:val="right"/>
              <w:rPr>
                <w:rFonts w:ascii="Calibri" w:hAnsi="Calibri" w:cs="Calibri"/>
                <w:sz w:val="22"/>
                <w:szCs w:val="22"/>
              </w:rPr>
            </w:pPr>
          </w:p>
          <w:p w14:paraId="2F540153" w14:textId="36DD5BB8" w:rsidR="000529D1" w:rsidRPr="005C1D22" w:rsidRDefault="001536D5" w:rsidP="005F260E">
            <w:pPr>
              <w:ind w:left="720"/>
              <w:jc w:val="right"/>
              <w:rPr>
                <w:rFonts w:ascii="Calibri" w:hAnsi="Calibri" w:cs="Calibri"/>
                <w:sz w:val="22"/>
                <w:szCs w:val="22"/>
              </w:rPr>
            </w:pPr>
            <w:r>
              <w:rPr>
                <w:rFonts w:ascii="Calibri" w:hAnsi="Calibri" w:cs="Calibri"/>
                <w:sz w:val="22"/>
                <w:szCs w:val="22"/>
              </w:rPr>
              <w:t>+100.000</w:t>
            </w:r>
          </w:p>
        </w:tc>
      </w:tr>
      <w:tr w:rsidR="000529D1" w:rsidRPr="00F14DC1" w14:paraId="0E328026" w14:textId="77777777" w:rsidTr="0085124A">
        <w:tc>
          <w:tcPr>
            <w:tcW w:w="6289" w:type="dxa"/>
            <w:tcBorders>
              <w:top w:val="single" w:sz="12" w:space="0" w:color="auto"/>
              <w:bottom w:val="single" w:sz="4" w:space="0" w:color="auto"/>
            </w:tcBorders>
          </w:tcPr>
          <w:p w14:paraId="0CE653A2" w14:textId="016B4A7F" w:rsidR="000529D1" w:rsidRPr="000529D1" w:rsidRDefault="0085124A" w:rsidP="005F260E">
            <w:pPr>
              <w:rPr>
                <w:rFonts w:ascii="Calibri" w:hAnsi="Calibri" w:cs="Calibri"/>
                <w:sz w:val="22"/>
                <w:szCs w:val="22"/>
              </w:rPr>
            </w:pPr>
            <w:r w:rsidRPr="0085124A">
              <w:rPr>
                <w:rFonts w:ascii="Calibri" w:hAnsi="Calibri" w:cs="Calibri"/>
                <w:sz w:val="22"/>
                <w:szCs w:val="22"/>
              </w:rPr>
              <w:t>Egyéb, más ágazathoz nem sorolható intézmények és feladatok kiadásai – Tervezések hatósági díja lejáró engedélyekhez, egyéb díjak</w:t>
            </w:r>
          </w:p>
        </w:tc>
        <w:tc>
          <w:tcPr>
            <w:tcW w:w="2239" w:type="dxa"/>
            <w:tcBorders>
              <w:top w:val="single" w:sz="12" w:space="0" w:color="auto"/>
              <w:bottom w:val="single" w:sz="4" w:space="0" w:color="auto"/>
            </w:tcBorders>
          </w:tcPr>
          <w:p w14:paraId="76BB47EE" w14:textId="77777777" w:rsidR="001536D5" w:rsidRDefault="001536D5" w:rsidP="005F260E">
            <w:pPr>
              <w:ind w:left="720"/>
              <w:jc w:val="right"/>
              <w:rPr>
                <w:rFonts w:ascii="Calibri" w:hAnsi="Calibri" w:cs="Calibri"/>
                <w:sz w:val="22"/>
                <w:szCs w:val="22"/>
              </w:rPr>
            </w:pPr>
          </w:p>
          <w:p w14:paraId="26ABD8CA" w14:textId="77777777" w:rsidR="001536D5" w:rsidRDefault="001536D5" w:rsidP="005F260E">
            <w:pPr>
              <w:ind w:left="720"/>
              <w:jc w:val="right"/>
              <w:rPr>
                <w:rFonts w:ascii="Calibri" w:hAnsi="Calibri" w:cs="Calibri"/>
                <w:sz w:val="22"/>
                <w:szCs w:val="22"/>
              </w:rPr>
            </w:pPr>
          </w:p>
          <w:p w14:paraId="7B23243F" w14:textId="09C35BF7" w:rsidR="000529D1" w:rsidRPr="005C1D22" w:rsidRDefault="001536D5" w:rsidP="005F260E">
            <w:pPr>
              <w:ind w:left="720"/>
              <w:jc w:val="right"/>
              <w:rPr>
                <w:rFonts w:ascii="Calibri" w:hAnsi="Calibri" w:cs="Calibri"/>
                <w:sz w:val="22"/>
                <w:szCs w:val="22"/>
              </w:rPr>
            </w:pPr>
            <w:r>
              <w:rPr>
                <w:rFonts w:ascii="Calibri" w:hAnsi="Calibri" w:cs="Calibri"/>
                <w:sz w:val="22"/>
                <w:szCs w:val="22"/>
              </w:rPr>
              <w:t>-9.132</w:t>
            </w:r>
          </w:p>
        </w:tc>
      </w:tr>
      <w:tr w:rsidR="000529D1" w:rsidRPr="00F14DC1" w14:paraId="6C95E3AC" w14:textId="77777777" w:rsidTr="0085124A">
        <w:tc>
          <w:tcPr>
            <w:tcW w:w="6289" w:type="dxa"/>
            <w:tcBorders>
              <w:top w:val="single" w:sz="4" w:space="0" w:color="auto"/>
              <w:bottom w:val="single" w:sz="12" w:space="0" w:color="auto"/>
            </w:tcBorders>
          </w:tcPr>
          <w:p w14:paraId="4F387A07" w14:textId="7EAA07CB" w:rsidR="000529D1" w:rsidRPr="000529D1" w:rsidRDefault="0085124A" w:rsidP="005F260E">
            <w:pPr>
              <w:rPr>
                <w:rFonts w:ascii="Calibri" w:hAnsi="Calibri" w:cs="Calibri"/>
                <w:sz w:val="22"/>
                <w:szCs w:val="22"/>
              </w:rPr>
            </w:pPr>
            <w:r w:rsidRPr="0085124A">
              <w:rPr>
                <w:rFonts w:ascii="Calibri" w:hAnsi="Calibri" w:cs="Calibri"/>
                <w:sz w:val="22"/>
                <w:szCs w:val="22"/>
              </w:rPr>
              <w:t>Egyéb, más ágazathoz nem sorolható intézmények és feladatok kiadásai – Településrendezési terv felülvizsgálata</w:t>
            </w:r>
          </w:p>
        </w:tc>
        <w:tc>
          <w:tcPr>
            <w:tcW w:w="2239" w:type="dxa"/>
            <w:tcBorders>
              <w:top w:val="single" w:sz="4" w:space="0" w:color="auto"/>
              <w:bottom w:val="single" w:sz="12" w:space="0" w:color="auto"/>
            </w:tcBorders>
          </w:tcPr>
          <w:p w14:paraId="42C9E25F" w14:textId="77777777" w:rsidR="000529D1" w:rsidRDefault="000529D1" w:rsidP="005F260E">
            <w:pPr>
              <w:ind w:left="720"/>
              <w:jc w:val="right"/>
              <w:rPr>
                <w:rFonts w:ascii="Calibri" w:hAnsi="Calibri" w:cs="Calibri"/>
                <w:sz w:val="22"/>
                <w:szCs w:val="22"/>
              </w:rPr>
            </w:pPr>
          </w:p>
          <w:p w14:paraId="44AE44E5" w14:textId="1CBAC19F" w:rsidR="001536D5" w:rsidRPr="005C1D22" w:rsidRDefault="001536D5" w:rsidP="005F260E">
            <w:pPr>
              <w:ind w:left="720"/>
              <w:jc w:val="right"/>
              <w:rPr>
                <w:rFonts w:ascii="Calibri" w:hAnsi="Calibri" w:cs="Calibri"/>
                <w:sz w:val="22"/>
                <w:szCs w:val="22"/>
              </w:rPr>
            </w:pPr>
            <w:r>
              <w:rPr>
                <w:rFonts w:ascii="Calibri" w:hAnsi="Calibri" w:cs="Calibri"/>
                <w:sz w:val="22"/>
                <w:szCs w:val="22"/>
              </w:rPr>
              <w:t>+9.132</w:t>
            </w:r>
          </w:p>
        </w:tc>
      </w:tr>
      <w:tr w:rsidR="000529D1" w:rsidRPr="00F14DC1" w14:paraId="184D7DC7" w14:textId="77777777" w:rsidTr="0085124A">
        <w:tc>
          <w:tcPr>
            <w:tcW w:w="6289" w:type="dxa"/>
            <w:tcBorders>
              <w:top w:val="single" w:sz="12" w:space="0" w:color="auto"/>
              <w:bottom w:val="single" w:sz="4" w:space="0" w:color="auto"/>
            </w:tcBorders>
          </w:tcPr>
          <w:p w14:paraId="10269B57" w14:textId="335052BA" w:rsidR="000529D1" w:rsidRPr="00EC7B15" w:rsidRDefault="0085124A" w:rsidP="005F260E">
            <w:pPr>
              <w:rPr>
                <w:rFonts w:ascii="Calibri" w:hAnsi="Calibri" w:cs="Calibri"/>
                <w:sz w:val="22"/>
                <w:szCs w:val="22"/>
              </w:rPr>
            </w:pPr>
            <w:r w:rsidRPr="00EC7B15">
              <w:rPr>
                <w:rFonts w:ascii="Calibri" w:hAnsi="Calibri" w:cs="Calibri"/>
                <w:sz w:val="22"/>
                <w:szCs w:val="22"/>
              </w:rPr>
              <w:t xml:space="preserve">Tartalék - városi cégek, intézmények, szolgáltatások működésére  </w:t>
            </w:r>
          </w:p>
        </w:tc>
        <w:tc>
          <w:tcPr>
            <w:tcW w:w="2239" w:type="dxa"/>
            <w:tcBorders>
              <w:top w:val="single" w:sz="12" w:space="0" w:color="auto"/>
              <w:bottom w:val="single" w:sz="4" w:space="0" w:color="auto"/>
            </w:tcBorders>
          </w:tcPr>
          <w:p w14:paraId="34220603" w14:textId="1ADBF662" w:rsidR="001536D5" w:rsidRPr="005C1D22" w:rsidRDefault="001536D5" w:rsidP="005F260E">
            <w:pPr>
              <w:ind w:left="720"/>
              <w:jc w:val="right"/>
              <w:rPr>
                <w:rFonts w:ascii="Calibri" w:hAnsi="Calibri" w:cs="Calibri"/>
                <w:sz w:val="22"/>
                <w:szCs w:val="22"/>
              </w:rPr>
            </w:pPr>
            <w:r>
              <w:rPr>
                <w:rFonts w:ascii="Calibri" w:hAnsi="Calibri" w:cs="Calibri"/>
                <w:sz w:val="22"/>
                <w:szCs w:val="22"/>
              </w:rPr>
              <w:t>-10.000</w:t>
            </w:r>
          </w:p>
        </w:tc>
      </w:tr>
      <w:tr w:rsidR="000529D1" w:rsidRPr="00F14DC1" w14:paraId="5B41582C" w14:textId="77777777" w:rsidTr="0085124A">
        <w:tc>
          <w:tcPr>
            <w:tcW w:w="6289" w:type="dxa"/>
            <w:tcBorders>
              <w:top w:val="single" w:sz="4" w:space="0" w:color="auto"/>
              <w:bottom w:val="single" w:sz="12" w:space="0" w:color="auto"/>
            </w:tcBorders>
          </w:tcPr>
          <w:p w14:paraId="070CBC3B" w14:textId="57E3F63C" w:rsidR="000529D1" w:rsidRPr="00EC7B15" w:rsidRDefault="0085124A" w:rsidP="005F260E">
            <w:pPr>
              <w:rPr>
                <w:rFonts w:ascii="Calibri" w:hAnsi="Calibri" w:cs="Calibri"/>
                <w:sz w:val="22"/>
                <w:szCs w:val="22"/>
              </w:rPr>
            </w:pPr>
            <w:r w:rsidRPr="00EC7B15">
              <w:rPr>
                <w:rFonts w:ascii="Calibri" w:hAnsi="Calibri" w:cs="Calibri"/>
                <w:sz w:val="22"/>
                <w:szCs w:val="22"/>
              </w:rPr>
              <w:t>HVSE támogatása</w:t>
            </w:r>
          </w:p>
        </w:tc>
        <w:tc>
          <w:tcPr>
            <w:tcW w:w="2239" w:type="dxa"/>
            <w:tcBorders>
              <w:top w:val="single" w:sz="4" w:space="0" w:color="auto"/>
              <w:bottom w:val="single" w:sz="12" w:space="0" w:color="auto"/>
            </w:tcBorders>
          </w:tcPr>
          <w:p w14:paraId="0E9DEAB2" w14:textId="06B9AB8B" w:rsidR="000529D1" w:rsidRPr="005C1D22" w:rsidRDefault="001536D5" w:rsidP="005F260E">
            <w:pPr>
              <w:ind w:left="720"/>
              <w:jc w:val="right"/>
              <w:rPr>
                <w:rFonts w:ascii="Calibri" w:hAnsi="Calibri" w:cs="Calibri"/>
                <w:sz w:val="22"/>
                <w:szCs w:val="22"/>
              </w:rPr>
            </w:pPr>
            <w:r>
              <w:rPr>
                <w:rFonts w:ascii="Calibri" w:hAnsi="Calibri" w:cs="Calibri"/>
                <w:sz w:val="22"/>
                <w:szCs w:val="22"/>
              </w:rPr>
              <w:t>+10.000</w:t>
            </w:r>
          </w:p>
        </w:tc>
      </w:tr>
      <w:tr w:rsidR="000529D1" w:rsidRPr="00F14DC1" w14:paraId="0323EB13" w14:textId="77777777" w:rsidTr="0085124A">
        <w:tc>
          <w:tcPr>
            <w:tcW w:w="6289" w:type="dxa"/>
            <w:tcBorders>
              <w:top w:val="single" w:sz="12" w:space="0" w:color="auto"/>
              <w:bottom w:val="single" w:sz="4" w:space="0" w:color="auto"/>
            </w:tcBorders>
          </w:tcPr>
          <w:p w14:paraId="7A5064A3" w14:textId="26F92437" w:rsidR="000529D1" w:rsidRPr="000529D1" w:rsidRDefault="0085124A" w:rsidP="005F260E">
            <w:pPr>
              <w:rPr>
                <w:rFonts w:ascii="Calibri" w:hAnsi="Calibri" w:cs="Calibri"/>
                <w:sz w:val="22"/>
                <w:szCs w:val="22"/>
              </w:rPr>
            </w:pPr>
            <w:r w:rsidRPr="0085124A">
              <w:rPr>
                <w:rFonts w:ascii="Calibri" w:hAnsi="Calibri" w:cs="Calibri"/>
                <w:sz w:val="22"/>
                <w:szCs w:val="22"/>
              </w:rPr>
              <w:t xml:space="preserve">Tartalék - városi cégek, intézmények, szolgáltatások működésére  </w:t>
            </w:r>
          </w:p>
        </w:tc>
        <w:tc>
          <w:tcPr>
            <w:tcW w:w="2239" w:type="dxa"/>
            <w:tcBorders>
              <w:top w:val="single" w:sz="12" w:space="0" w:color="auto"/>
              <w:bottom w:val="single" w:sz="4" w:space="0" w:color="auto"/>
            </w:tcBorders>
          </w:tcPr>
          <w:p w14:paraId="7931B61A" w14:textId="3A19EC96" w:rsidR="000529D1" w:rsidRPr="005C1D22" w:rsidRDefault="001536D5" w:rsidP="005F260E">
            <w:pPr>
              <w:ind w:left="720"/>
              <w:jc w:val="right"/>
              <w:rPr>
                <w:rFonts w:ascii="Calibri" w:hAnsi="Calibri" w:cs="Calibri"/>
                <w:sz w:val="22"/>
                <w:szCs w:val="22"/>
              </w:rPr>
            </w:pPr>
            <w:r>
              <w:rPr>
                <w:rFonts w:ascii="Calibri" w:hAnsi="Calibri" w:cs="Calibri"/>
                <w:sz w:val="22"/>
                <w:szCs w:val="22"/>
              </w:rPr>
              <w:t>-40.000</w:t>
            </w:r>
          </w:p>
        </w:tc>
      </w:tr>
      <w:tr w:rsidR="000529D1" w:rsidRPr="00F14DC1" w14:paraId="128845BB" w14:textId="77777777" w:rsidTr="0085124A">
        <w:tc>
          <w:tcPr>
            <w:tcW w:w="6289" w:type="dxa"/>
            <w:tcBorders>
              <w:top w:val="single" w:sz="4" w:space="0" w:color="auto"/>
              <w:bottom w:val="single" w:sz="12" w:space="0" w:color="auto"/>
            </w:tcBorders>
          </w:tcPr>
          <w:p w14:paraId="378C2FE1" w14:textId="1ACC8D51" w:rsidR="000529D1" w:rsidRPr="000529D1" w:rsidRDefault="0085124A" w:rsidP="005F260E">
            <w:pPr>
              <w:rPr>
                <w:rFonts w:ascii="Calibri" w:hAnsi="Calibri" w:cs="Calibri"/>
                <w:sz w:val="22"/>
                <w:szCs w:val="22"/>
              </w:rPr>
            </w:pPr>
            <w:r w:rsidRPr="0085124A">
              <w:rPr>
                <w:rFonts w:ascii="Calibri" w:hAnsi="Calibri" w:cs="Calibri"/>
                <w:sz w:val="22"/>
                <w:szCs w:val="22"/>
              </w:rPr>
              <w:t>Haladás 1919 Kft. támogatás</w:t>
            </w:r>
          </w:p>
        </w:tc>
        <w:tc>
          <w:tcPr>
            <w:tcW w:w="2239" w:type="dxa"/>
            <w:tcBorders>
              <w:top w:val="single" w:sz="4" w:space="0" w:color="auto"/>
              <w:bottom w:val="single" w:sz="12" w:space="0" w:color="auto"/>
            </w:tcBorders>
          </w:tcPr>
          <w:p w14:paraId="1815AC86" w14:textId="3949AD75" w:rsidR="000529D1" w:rsidRPr="005C1D22" w:rsidRDefault="001536D5" w:rsidP="005F260E">
            <w:pPr>
              <w:ind w:left="720"/>
              <w:jc w:val="right"/>
              <w:rPr>
                <w:rFonts w:ascii="Calibri" w:hAnsi="Calibri" w:cs="Calibri"/>
                <w:sz w:val="22"/>
                <w:szCs w:val="22"/>
              </w:rPr>
            </w:pPr>
            <w:r>
              <w:rPr>
                <w:rFonts w:ascii="Calibri" w:hAnsi="Calibri" w:cs="Calibri"/>
                <w:sz w:val="22"/>
                <w:szCs w:val="22"/>
              </w:rPr>
              <w:t>+40.000</w:t>
            </w:r>
          </w:p>
        </w:tc>
      </w:tr>
      <w:tr w:rsidR="000529D1" w:rsidRPr="00F14DC1" w14:paraId="5590BCDC" w14:textId="77777777" w:rsidTr="0085124A">
        <w:tc>
          <w:tcPr>
            <w:tcW w:w="6289" w:type="dxa"/>
            <w:tcBorders>
              <w:top w:val="single" w:sz="12" w:space="0" w:color="auto"/>
              <w:bottom w:val="single" w:sz="4" w:space="0" w:color="auto"/>
            </w:tcBorders>
          </w:tcPr>
          <w:p w14:paraId="5FFEA865" w14:textId="2E8126C2" w:rsidR="000529D1" w:rsidRPr="005F1757" w:rsidRDefault="00BC5A80" w:rsidP="005F260E">
            <w:pPr>
              <w:rPr>
                <w:rFonts w:ascii="Calibri" w:hAnsi="Calibri" w:cs="Calibri"/>
                <w:sz w:val="22"/>
                <w:szCs w:val="22"/>
              </w:rPr>
            </w:pPr>
            <w:r w:rsidRPr="005F1757">
              <w:rPr>
                <w:rFonts w:ascii="Calibri" w:hAnsi="Calibri" w:cs="Calibri"/>
                <w:sz w:val="22"/>
                <w:szCs w:val="22"/>
              </w:rPr>
              <w:t>Egyéb, más ágazathoz nem sorolható intézmények és feladatok kiadásai – Egyéb kiadások</w:t>
            </w:r>
            <w:r w:rsidRPr="005F1757">
              <w:rPr>
                <w:rFonts w:ascii="Calibri" w:hAnsi="Calibri" w:cs="Calibri"/>
                <w:sz w:val="22"/>
                <w:szCs w:val="22"/>
              </w:rPr>
              <w:tab/>
            </w:r>
          </w:p>
        </w:tc>
        <w:tc>
          <w:tcPr>
            <w:tcW w:w="2239" w:type="dxa"/>
            <w:tcBorders>
              <w:top w:val="single" w:sz="12" w:space="0" w:color="auto"/>
              <w:bottom w:val="single" w:sz="4" w:space="0" w:color="auto"/>
            </w:tcBorders>
          </w:tcPr>
          <w:p w14:paraId="69210379" w14:textId="77777777" w:rsidR="000529D1" w:rsidRPr="005F1757" w:rsidRDefault="000529D1" w:rsidP="005F260E">
            <w:pPr>
              <w:ind w:left="720"/>
              <w:jc w:val="right"/>
              <w:rPr>
                <w:rFonts w:ascii="Calibri" w:hAnsi="Calibri" w:cs="Calibri"/>
                <w:sz w:val="22"/>
                <w:szCs w:val="22"/>
              </w:rPr>
            </w:pPr>
          </w:p>
          <w:p w14:paraId="478F0A73" w14:textId="48CD5EE6" w:rsidR="00BC5A80" w:rsidRPr="005F1757" w:rsidRDefault="00BC5A80" w:rsidP="005F260E">
            <w:pPr>
              <w:ind w:left="720"/>
              <w:jc w:val="right"/>
              <w:rPr>
                <w:rFonts w:ascii="Calibri" w:hAnsi="Calibri" w:cs="Calibri"/>
                <w:sz w:val="22"/>
                <w:szCs w:val="22"/>
              </w:rPr>
            </w:pPr>
            <w:r w:rsidRPr="005F1757">
              <w:rPr>
                <w:rFonts w:ascii="Calibri" w:hAnsi="Calibri" w:cs="Calibri"/>
                <w:sz w:val="22"/>
                <w:szCs w:val="22"/>
              </w:rPr>
              <w:t>-1.205</w:t>
            </w:r>
          </w:p>
        </w:tc>
      </w:tr>
      <w:tr w:rsidR="000529D1" w:rsidRPr="00F14DC1" w14:paraId="1EE6D6B0" w14:textId="77777777" w:rsidTr="00BC5A80">
        <w:tc>
          <w:tcPr>
            <w:tcW w:w="6289" w:type="dxa"/>
            <w:tcBorders>
              <w:top w:val="single" w:sz="4" w:space="0" w:color="auto"/>
              <w:bottom w:val="single" w:sz="12" w:space="0" w:color="auto"/>
            </w:tcBorders>
          </w:tcPr>
          <w:p w14:paraId="4BA5FAED" w14:textId="54DE005E" w:rsidR="000529D1" w:rsidRPr="005F1757" w:rsidRDefault="00BC5A80" w:rsidP="005F260E">
            <w:pPr>
              <w:rPr>
                <w:rFonts w:ascii="Calibri" w:hAnsi="Calibri" w:cs="Calibri"/>
                <w:sz w:val="22"/>
                <w:szCs w:val="22"/>
              </w:rPr>
            </w:pPr>
            <w:r w:rsidRPr="005F1757">
              <w:rPr>
                <w:rFonts w:ascii="Calibri" w:hAnsi="Calibri" w:cs="Calibri"/>
                <w:sz w:val="22"/>
                <w:szCs w:val="22"/>
              </w:rPr>
              <w:t>Önkormányzati felhalmozási kiadások – Informatikai fejlesztések – Széll K. u. 51. térfigyelő kamera telepítése</w:t>
            </w:r>
          </w:p>
        </w:tc>
        <w:tc>
          <w:tcPr>
            <w:tcW w:w="2239" w:type="dxa"/>
            <w:tcBorders>
              <w:top w:val="single" w:sz="4" w:space="0" w:color="auto"/>
              <w:bottom w:val="single" w:sz="12" w:space="0" w:color="auto"/>
            </w:tcBorders>
          </w:tcPr>
          <w:p w14:paraId="5223B193" w14:textId="77777777" w:rsidR="00C30F73" w:rsidRPr="005F1757" w:rsidRDefault="00C30F73" w:rsidP="005F260E">
            <w:pPr>
              <w:ind w:left="720"/>
              <w:jc w:val="right"/>
              <w:rPr>
                <w:rFonts w:ascii="Calibri" w:hAnsi="Calibri" w:cs="Calibri"/>
                <w:sz w:val="22"/>
                <w:szCs w:val="22"/>
              </w:rPr>
            </w:pPr>
          </w:p>
          <w:p w14:paraId="399832EF" w14:textId="461FEF14" w:rsidR="000529D1" w:rsidRPr="005F1757" w:rsidRDefault="00BC5A80" w:rsidP="005F260E">
            <w:pPr>
              <w:ind w:left="720"/>
              <w:jc w:val="right"/>
              <w:rPr>
                <w:rFonts w:ascii="Calibri" w:hAnsi="Calibri" w:cs="Calibri"/>
                <w:sz w:val="22"/>
                <w:szCs w:val="22"/>
              </w:rPr>
            </w:pPr>
            <w:r w:rsidRPr="005F1757">
              <w:rPr>
                <w:rFonts w:ascii="Calibri" w:hAnsi="Calibri" w:cs="Calibri"/>
                <w:sz w:val="22"/>
                <w:szCs w:val="22"/>
              </w:rPr>
              <w:t>+1.205</w:t>
            </w:r>
          </w:p>
        </w:tc>
      </w:tr>
    </w:tbl>
    <w:p w14:paraId="706246D2" w14:textId="77777777" w:rsidR="00FE78E1" w:rsidRPr="00F14DC1" w:rsidRDefault="00FE78E1" w:rsidP="00500B0C">
      <w:pPr>
        <w:tabs>
          <w:tab w:val="left" w:pos="1080"/>
        </w:tabs>
        <w:jc w:val="both"/>
        <w:rPr>
          <w:rFonts w:ascii="Calibri" w:hAnsi="Calibri" w:cs="Calibri"/>
          <w:bCs/>
          <w:iCs/>
          <w:sz w:val="22"/>
          <w:szCs w:val="22"/>
        </w:rPr>
      </w:pPr>
    </w:p>
    <w:p w14:paraId="0543E140" w14:textId="012ADC7A" w:rsidR="00500B0C" w:rsidRPr="008227B9" w:rsidRDefault="008227B9" w:rsidP="008227B9">
      <w:pPr>
        <w:tabs>
          <w:tab w:val="left" w:pos="1080"/>
        </w:tabs>
        <w:ind w:left="720"/>
        <w:jc w:val="both"/>
        <w:rPr>
          <w:rFonts w:ascii="Calibri" w:hAnsi="Calibri" w:cs="Calibri"/>
          <w:b/>
          <w:bCs/>
          <w:i/>
          <w:iCs/>
          <w:sz w:val="22"/>
          <w:szCs w:val="22"/>
          <w:u w:val="single"/>
        </w:rPr>
      </w:pPr>
      <w:r>
        <w:rPr>
          <w:rFonts w:ascii="Calibri" w:hAnsi="Calibri" w:cs="Calibri"/>
          <w:b/>
          <w:bCs/>
          <w:i/>
          <w:iCs/>
          <w:sz w:val="22"/>
          <w:szCs w:val="22"/>
          <w:u w:val="single"/>
        </w:rPr>
        <w:t>e)</w:t>
      </w:r>
      <w:r w:rsidR="00500B0C" w:rsidRPr="008227B9">
        <w:rPr>
          <w:rFonts w:ascii="Calibri" w:hAnsi="Calibri" w:cs="Calibri"/>
          <w:b/>
          <w:bCs/>
          <w:i/>
          <w:iCs/>
          <w:sz w:val="22"/>
          <w:szCs w:val="22"/>
          <w:u w:val="single"/>
        </w:rPr>
        <w:t>egyenleg: 0 eFt</w:t>
      </w:r>
    </w:p>
    <w:p w14:paraId="616279E6" w14:textId="77777777" w:rsidR="00C44696" w:rsidRDefault="00C44696" w:rsidP="00C44696">
      <w:pPr>
        <w:pStyle w:val="Listaszerbekezds"/>
        <w:tabs>
          <w:tab w:val="left" w:pos="1080"/>
        </w:tabs>
        <w:ind w:left="720"/>
        <w:jc w:val="both"/>
        <w:rPr>
          <w:rFonts w:ascii="Calibri" w:hAnsi="Calibri" w:cs="Calibri"/>
          <w:b/>
          <w:bCs/>
          <w:i/>
          <w:iCs/>
          <w:sz w:val="22"/>
          <w:szCs w:val="22"/>
          <w:u w:val="single"/>
        </w:rPr>
      </w:pPr>
    </w:p>
    <w:p w14:paraId="43A9F1FB" w14:textId="77777777" w:rsidR="00E85F5E" w:rsidRPr="00EE552C" w:rsidRDefault="00E85F5E" w:rsidP="00C44696">
      <w:pPr>
        <w:pStyle w:val="Listaszerbekezds"/>
        <w:tabs>
          <w:tab w:val="left" w:pos="1080"/>
        </w:tabs>
        <w:ind w:left="720"/>
        <w:jc w:val="both"/>
        <w:rPr>
          <w:rFonts w:ascii="Calibri" w:hAnsi="Calibri" w:cs="Calibri"/>
          <w:b/>
          <w:bCs/>
          <w:i/>
          <w:iCs/>
          <w:sz w:val="22"/>
          <w:szCs w:val="22"/>
          <w:u w:val="single"/>
        </w:rPr>
      </w:pPr>
    </w:p>
    <w:p w14:paraId="65D5A7C2" w14:textId="77777777" w:rsidR="00295143" w:rsidRPr="00EE552C" w:rsidRDefault="00295143" w:rsidP="00295143">
      <w:pPr>
        <w:rPr>
          <w:rFonts w:ascii="Calibri" w:hAnsi="Calibri" w:cs="Calibri"/>
          <w:b/>
          <w:bCs/>
          <w:i/>
          <w:iCs/>
          <w:sz w:val="22"/>
          <w:szCs w:val="22"/>
          <w:u w:val="single"/>
        </w:rPr>
      </w:pPr>
      <w:r w:rsidRPr="00EE552C">
        <w:rPr>
          <w:rFonts w:ascii="Calibri" w:hAnsi="Calibri" w:cs="Calibri"/>
          <w:b/>
          <w:bCs/>
          <w:i/>
          <w:iCs/>
          <w:sz w:val="22"/>
          <w:szCs w:val="22"/>
          <w:u w:val="single"/>
        </w:rPr>
        <w:lastRenderedPageBreak/>
        <w:t>f) Ágazati kiadásokból, polgármesteri keretből történt átcsoportosítások:</w:t>
      </w:r>
    </w:p>
    <w:p w14:paraId="509199F0" w14:textId="77777777" w:rsidR="00295143" w:rsidRPr="00EE552C" w:rsidRDefault="00295143" w:rsidP="00500B0C">
      <w:pPr>
        <w:ind w:left="360"/>
        <w:rPr>
          <w:rFonts w:ascii="Calibri" w:hAnsi="Calibri" w:cs="Calibri"/>
          <w:b/>
          <w:bCs/>
          <w:i/>
          <w:iCs/>
          <w:sz w:val="22"/>
          <w:szCs w:val="22"/>
        </w:rPr>
      </w:pPr>
    </w:p>
    <w:p w14:paraId="2A0BCD6D" w14:textId="6FACB05D" w:rsidR="00EE552C" w:rsidRPr="00EE552C" w:rsidRDefault="00BA3AAF" w:rsidP="001811A6">
      <w:pPr>
        <w:pStyle w:val="Listaszerbekezds"/>
        <w:numPr>
          <w:ilvl w:val="0"/>
          <w:numId w:val="13"/>
        </w:numPr>
        <w:jc w:val="both"/>
        <w:rPr>
          <w:rFonts w:ascii="Calibri" w:hAnsi="Calibri" w:cs="Calibri"/>
          <w:b/>
          <w:bCs/>
          <w:i/>
          <w:iCs/>
          <w:sz w:val="22"/>
          <w:szCs w:val="22"/>
        </w:rPr>
      </w:pPr>
      <w:bookmarkStart w:id="0" w:name="_Hlk208323709"/>
      <w:r w:rsidRPr="00EE552C">
        <w:rPr>
          <w:rFonts w:ascii="Calibri" w:hAnsi="Calibri" w:cs="Calibri"/>
          <w:bCs/>
          <w:iCs/>
          <w:sz w:val="22"/>
          <w:szCs w:val="22"/>
        </w:rPr>
        <w:t>A</w:t>
      </w:r>
      <w:r w:rsidR="00EE552C">
        <w:rPr>
          <w:rFonts w:ascii="Calibri" w:hAnsi="Calibri" w:cs="Calibri"/>
          <w:bCs/>
          <w:iCs/>
          <w:sz w:val="22"/>
          <w:szCs w:val="22"/>
        </w:rPr>
        <w:t xml:space="preserve"> Szociális és Lakás Bizottság </w:t>
      </w:r>
      <w:r w:rsidR="00EE552C" w:rsidRPr="006F07FF">
        <w:rPr>
          <w:rFonts w:ascii="Calibri" w:hAnsi="Calibri" w:cs="Calibri"/>
          <w:b/>
          <w:i/>
          <w:sz w:val="22"/>
          <w:szCs w:val="22"/>
        </w:rPr>
        <w:t>168/2025. (VI.18.) S</w:t>
      </w:r>
      <w:r w:rsidR="006C19E1" w:rsidRPr="006F07FF">
        <w:rPr>
          <w:rFonts w:ascii="Calibri" w:hAnsi="Calibri" w:cs="Calibri"/>
          <w:b/>
          <w:i/>
          <w:sz w:val="22"/>
          <w:szCs w:val="22"/>
        </w:rPr>
        <w:t>z</w:t>
      </w:r>
      <w:r w:rsidR="00EE552C" w:rsidRPr="006F07FF">
        <w:rPr>
          <w:rFonts w:ascii="Calibri" w:hAnsi="Calibri" w:cs="Calibri"/>
          <w:b/>
          <w:i/>
          <w:sz w:val="22"/>
          <w:szCs w:val="22"/>
        </w:rPr>
        <w:t>LB. határozata</w:t>
      </w:r>
      <w:r w:rsidR="00EE552C">
        <w:rPr>
          <w:rFonts w:ascii="Calibri" w:hAnsi="Calibri" w:cs="Calibri"/>
          <w:bCs/>
          <w:iCs/>
          <w:sz w:val="22"/>
          <w:szCs w:val="22"/>
        </w:rPr>
        <w:t xml:space="preserve"> alapján a „Segély önkormányzati támogatás” tételsorról 400 eFt átcsoportosításra került a „Szalázi Rendház Szombathely támogatása (nyári napközis tábor) tételsorra. </w:t>
      </w:r>
    </w:p>
    <w:bookmarkEnd w:id="0"/>
    <w:p w14:paraId="72F32906" w14:textId="6C3E89CC" w:rsidR="00EE552C" w:rsidRPr="005F1757" w:rsidRDefault="00EE552C" w:rsidP="00FA12C5">
      <w:pPr>
        <w:pStyle w:val="Listaszerbekezds"/>
        <w:numPr>
          <w:ilvl w:val="0"/>
          <w:numId w:val="13"/>
        </w:numPr>
        <w:jc w:val="both"/>
        <w:rPr>
          <w:rFonts w:ascii="Calibri" w:hAnsi="Calibri" w:cs="Calibri"/>
          <w:b/>
          <w:bCs/>
          <w:i/>
          <w:iCs/>
          <w:sz w:val="22"/>
          <w:szCs w:val="22"/>
        </w:rPr>
      </w:pPr>
      <w:r w:rsidRPr="00EE552C">
        <w:rPr>
          <w:rFonts w:ascii="Calibri" w:hAnsi="Calibri" w:cs="Calibri"/>
          <w:bCs/>
          <w:iCs/>
          <w:sz w:val="22"/>
          <w:szCs w:val="22"/>
        </w:rPr>
        <w:t xml:space="preserve">A Szociális és Lakás Bizottság </w:t>
      </w:r>
      <w:r w:rsidRPr="006F07FF">
        <w:rPr>
          <w:rFonts w:ascii="Calibri" w:hAnsi="Calibri" w:cs="Calibri"/>
          <w:b/>
          <w:i/>
          <w:sz w:val="22"/>
          <w:szCs w:val="22"/>
        </w:rPr>
        <w:t>194/2025. (VII.16.) S</w:t>
      </w:r>
      <w:r w:rsidR="006C19E1" w:rsidRPr="006F07FF">
        <w:rPr>
          <w:rFonts w:ascii="Calibri" w:hAnsi="Calibri" w:cs="Calibri"/>
          <w:b/>
          <w:i/>
          <w:sz w:val="22"/>
          <w:szCs w:val="22"/>
        </w:rPr>
        <w:t>z</w:t>
      </w:r>
      <w:r w:rsidRPr="006F07FF">
        <w:rPr>
          <w:rFonts w:ascii="Calibri" w:hAnsi="Calibri" w:cs="Calibri"/>
          <w:b/>
          <w:i/>
          <w:sz w:val="22"/>
          <w:szCs w:val="22"/>
        </w:rPr>
        <w:t>LB. határozata</w:t>
      </w:r>
      <w:r w:rsidRPr="00EE552C">
        <w:rPr>
          <w:rFonts w:ascii="Calibri" w:hAnsi="Calibri" w:cs="Calibri"/>
          <w:bCs/>
          <w:iCs/>
          <w:sz w:val="22"/>
          <w:szCs w:val="22"/>
        </w:rPr>
        <w:t xml:space="preserve"> alapján a „Lakás bérleti díj támogatás” tételsorról 1.000 eFt átcsoportosításra került a </w:t>
      </w:r>
      <w:r>
        <w:rPr>
          <w:rFonts w:ascii="Calibri" w:hAnsi="Calibri" w:cs="Calibri"/>
          <w:bCs/>
          <w:iCs/>
          <w:sz w:val="22"/>
          <w:szCs w:val="22"/>
        </w:rPr>
        <w:t xml:space="preserve">„Közösségi Bérlakás Rendszert népszerűsítő kampány” tételsorra. </w:t>
      </w:r>
    </w:p>
    <w:p w14:paraId="6E695D20" w14:textId="4FB03199" w:rsidR="005F1757" w:rsidRPr="005F1757" w:rsidRDefault="005F1757" w:rsidP="005F1757">
      <w:pPr>
        <w:pStyle w:val="Listaszerbekezds"/>
        <w:numPr>
          <w:ilvl w:val="0"/>
          <w:numId w:val="13"/>
        </w:numPr>
        <w:jc w:val="both"/>
        <w:rPr>
          <w:rFonts w:ascii="Calibri" w:hAnsi="Calibri" w:cs="Calibri"/>
          <w:b/>
          <w:bCs/>
          <w:i/>
          <w:iCs/>
          <w:sz w:val="22"/>
          <w:szCs w:val="22"/>
        </w:rPr>
      </w:pPr>
      <w:r w:rsidRPr="00EE552C">
        <w:rPr>
          <w:rFonts w:ascii="Calibri" w:hAnsi="Calibri" w:cs="Calibri"/>
          <w:bCs/>
          <w:iCs/>
          <w:sz w:val="22"/>
          <w:szCs w:val="22"/>
        </w:rPr>
        <w:t>A</w:t>
      </w:r>
      <w:r>
        <w:rPr>
          <w:rFonts w:ascii="Calibri" w:hAnsi="Calibri" w:cs="Calibri"/>
          <w:bCs/>
          <w:iCs/>
          <w:sz w:val="22"/>
          <w:szCs w:val="22"/>
        </w:rPr>
        <w:t xml:space="preserve"> Szociális és Lakás Bizottság </w:t>
      </w:r>
      <w:r w:rsidRPr="006F07FF">
        <w:rPr>
          <w:rFonts w:ascii="Calibri" w:hAnsi="Calibri" w:cs="Calibri"/>
          <w:b/>
          <w:i/>
          <w:sz w:val="22"/>
          <w:szCs w:val="22"/>
        </w:rPr>
        <w:t>224/2025. (VIII.27.) SzLB. határozata</w:t>
      </w:r>
      <w:r>
        <w:rPr>
          <w:rFonts w:ascii="Calibri" w:hAnsi="Calibri" w:cs="Calibri"/>
          <w:bCs/>
          <w:iCs/>
          <w:sz w:val="22"/>
          <w:szCs w:val="22"/>
        </w:rPr>
        <w:t xml:space="preserve"> alapján a „Segély önkormányzati támogatás” tételsorról 450 eFt átcsoportosításra került a „</w:t>
      </w:r>
      <w:r w:rsidRPr="005F1757">
        <w:rPr>
          <w:rFonts w:ascii="Calibri" w:hAnsi="Calibri" w:cs="Calibri"/>
          <w:bCs/>
          <w:iCs/>
          <w:sz w:val="22"/>
          <w:szCs w:val="22"/>
        </w:rPr>
        <w:t>Hátrányos Helyzetű Roma Fiatalokat Támogató Közhasznú Egyesület - iskolakezdési támogatás lebonyolítására</w:t>
      </w:r>
      <w:r>
        <w:rPr>
          <w:rFonts w:ascii="Calibri" w:hAnsi="Calibri" w:cs="Calibri"/>
          <w:bCs/>
          <w:iCs/>
          <w:sz w:val="22"/>
          <w:szCs w:val="22"/>
        </w:rPr>
        <w:t xml:space="preserve">” tételsorra. </w:t>
      </w:r>
    </w:p>
    <w:p w14:paraId="586F15D2" w14:textId="77777777" w:rsidR="00BA3AAF" w:rsidRDefault="00BA3AAF" w:rsidP="00BA3AAF">
      <w:pPr>
        <w:ind w:left="360"/>
        <w:jc w:val="both"/>
        <w:rPr>
          <w:rFonts w:ascii="Calibri" w:hAnsi="Calibri" w:cs="Calibri"/>
          <w:b/>
          <w:bCs/>
          <w:i/>
          <w:iCs/>
          <w:sz w:val="22"/>
          <w:szCs w:val="22"/>
        </w:rPr>
      </w:pPr>
    </w:p>
    <w:p w14:paraId="51E7E490" w14:textId="1B70675B" w:rsidR="00295143" w:rsidRPr="006F07FF" w:rsidRDefault="00295143" w:rsidP="006F07FF">
      <w:pPr>
        <w:pStyle w:val="Listaszerbekezds"/>
        <w:numPr>
          <w:ilvl w:val="0"/>
          <w:numId w:val="15"/>
        </w:numPr>
        <w:tabs>
          <w:tab w:val="left" w:pos="840"/>
        </w:tabs>
        <w:rPr>
          <w:rFonts w:ascii="Calibri" w:hAnsi="Calibri" w:cs="Calibri"/>
          <w:b/>
          <w:bCs/>
          <w:i/>
          <w:iCs/>
          <w:sz w:val="22"/>
          <w:szCs w:val="22"/>
          <w:u w:val="single"/>
        </w:rPr>
      </w:pPr>
      <w:r w:rsidRPr="006F07FF">
        <w:rPr>
          <w:rFonts w:ascii="Calibri" w:hAnsi="Calibri" w:cs="Calibri"/>
          <w:b/>
          <w:bCs/>
          <w:i/>
          <w:iCs/>
          <w:sz w:val="22"/>
          <w:szCs w:val="22"/>
          <w:u w:val="single"/>
        </w:rPr>
        <w:t>egyenleg: 0  eFt</w:t>
      </w:r>
    </w:p>
    <w:p w14:paraId="7D756353" w14:textId="77777777" w:rsidR="006F07FF" w:rsidRDefault="006F07FF" w:rsidP="006F07FF">
      <w:pPr>
        <w:tabs>
          <w:tab w:val="left" w:pos="840"/>
        </w:tabs>
        <w:rPr>
          <w:rFonts w:ascii="Calibri" w:hAnsi="Calibri" w:cs="Calibri"/>
          <w:b/>
          <w:bCs/>
          <w:i/>
          <w:iCs/>
          <w:sz w:val="22"/>
          <w:szCs w:val="22"/>
          <w:u w:val="single"/>
        </w:rPr>
      </w:pPr>
    </w:p>
    <w:p w14:paraId="645543DD" w14:textId="77777777" w:rsidR="00500B0C" w:rsidRPr="00F14DC1" w:rsidRDefault="00295143" w:rsidP="00500B0C">
      <w:pPr>
        <w:keepNext/>
        <w:jc w:val="both"/>
        <w:outlineLvl w:val="7"/>
        <w:rPr>
          <w:rFonts w:ascii="Calibri" w:hAnsi="Calibri" w:cs="Calibri"/>
          <w:b/>
          <w:i/>
          <w:iCs/>
          <w:sz w:val="22"/>
          <w:szCs w:val="22"/>
          <w:u w:val="single"/>
        </w:rPr>
      </w:pPr>
      <w:r w:rsidRPr="00F14DC1">
        <w:rPr>
          <w:rFonts w:ascii="Calibri" w:hAnsi="Calibri" w:cs="Calibri"/>
          <w:b/>
          <w:i/>
          <w:iCs/>
          <w:sz w:val="22"/>
          <w:szCs w:val="22"/>
          <w:u w:val="single"/>
        </w:rPr>
        <w:t>g</w:t>
      </w:r>
      <w:r w:rsidR="00500B0C" w:rsidRPr="00F14DC1">
        <w:rPr>
          <w:rFonts w:ascii="Calibri" w:hAnsi="Calibri" w:cs="Calibri"/>
          <w:b/>
          <w:i/>
          <w:iCs/>
          <w:sz w:val="22"/>
          <w:szCs w:val="22"/>
          <w:u w:val="single"/>
        </w:rPr>
        <w:t>) Egyéb átcsoportosítások:</w:t>
      </w:r>
    </w:p>
    <w:p w14:paraId="36196946" w14:textId="77777777" w:rsidR="00FB41D2" w:rsidRDefault="00FB41D2" w:rsidP="00B13601">
      <w:pPr>
        <w:jc w:val="both"/>
        <w:rPr>
          <w:rFonts w:ascii="Calibri" w:hAnsi="Calibri" w:cs="Calibri"/>
          <w:sz w:val="22"/>
          <w:szCs w:val="22"/>
        </w:rPr>
      </w:pPr>
    </w:p>
    <w:p w14:paraId="07E8832A" w14:textId="6B62C142" w:rsidR="00FB41D2" w:rsidRDefault="00FB41D2" w:rsidP="00241880">
      <w:pPr>
        <w:ind w:left="426"/>
        <w:jc w:val="both"/>
        <w:rPr>
          <w:rFonts w:ascii="Calibri" w:hAnsi="Calibri" w:cs="Calibri"/>
          <w:sz w:val="22"/>
          <w:szCs w:val="22"/>
        </w:rPr>
      </w:pPr>
      <w:r w:rsidRPr="00FB41D2">
        <w:rPr>
          <w:rFonts w:ascii="Calibri" w:hAnsi="Calibri" w:cs="Calibri"/>
          <w:sz w:val="22"/>
          <w:szCs w:val="22"/>
        </w:rPr>
        <w:t xml:space="preserve">Az átcsoportosítás keretében egyenleget nem érintő változások kerültek végrehajtásra, melyet szakmai indokok támasztanak alá, továbbá technikai jellegűek. </w:t>
      </w:r>
    </w:p>
    <w:p w14:paraId="7DD70C2B" w14:textId="77777777" w:rsidR="002115E8" w:rsidRDefault="002115E8" w:rsidP="006F07FF">
      <w:pPr>
        <w:ind w:left="426"/>
        <w:jc w:val="both"/>
        <w:rPr>
          <w:rFonts w:ascii="Calibri" w:hAnsi="Calibri" w:cs="Calibri"/>
          <w:sz w:val="22"/>
          <w:szCs w:val="22"/>
        </w:rPr>
      </w:pPr>
    </w:p>
    <w:p w14:paraId="4DA9CE12" w14:textId="41B44FEF" w:rsidR="002115E8" w:rsidRDefault="002115E8" w:rsidP="006F07FF">
      <w:pPr>
        <w:numPr>
          <w:ilvl w:val="0"/>
          <w:numId w:val="8"/>
        </w:numPr>
        <w:jc w:val="both"/>
        <w:rPr>
          <w:rFonts w:ascii="Calibri" w:hAnsi="Calibri" w:cs="Calibri"/>
          <w:sz w:val="22"/>
          <w:szCs w:val="22"/>
        </w:rPr>
      </w:pPr>
      <w:r w:rsidRPr="006C19E1">
        <w:rPr>
          <w:rFonts w:ascii="Calibri" w:hAnsi="Calibri" w:cs="Calibri"/>
          <w:sz w:val="22"/>
          <w:szCs w:val="22"/>
        </w:rPr>
        <w:t>A</w:t>
      </w:r>
      <w:r w:rsidR="00080A31" w:rsidRPr="006C19E1">
        <w:rPr>
          <w:rFonts w:ascii="Calibri" w:hAnsi="Calibri" w:cs="Calibri"/>
          <w:sz w:val="22"/>
          <w:szCs w:val="22"/>
        </w:rPr>
        <w:t xml:space="preserve"> </w:t>
      </w:r>
      <w:r w:rsidR="006C19E1" w:rsidRPr="006C19E1">
        <w:rPr>
          <w:rFonts w:ascii="Calibri" w:hAnsi="Calibri" w:cs="Calibri"/>
          <w:sz w:val="22"/>
          <w:szCs w:val="22"/>
        </w:rPr>
        <w:t>nyári</w:t>
      </w:r>
      <w:r w:rsidR="00080A31" w:rsidRPr="006C19E1">
        <w:rPr>
          <w:rFonts w:ascii="Calibri" w:hAnsi="Calibri" w:cs="Calibri"/>
          <w:sz w:val="22"/>
          <w:szCs w:val="22"/>
        </w:rPr>
        <w:t xml:space="preserve"> </w:t>
      </w:r>
      <w:r w:rsidR="00DC4190" w:rsidRPr="006C19E1">
        <w:rPr>
          <w:rFonts w:ascii="Calibri" w:hAnsi="Calibri" w:cs="Calibri"/>
          <w:sz w:val="22"/>
          <w:szCs w:val="22"/>
        </w:rPr>
        <w:t>szünetben történt étkeztetések elszámolásai alapján</w:t>
      </w:r>
      <w:r w:rsidR="004D76C4" w:rsidRPr="006C19E1">
        <w:rPr>
          <w:rFonts w:ascii="Calibri" w:hAnsi="Calibri" w:cs="Calibri"/>
          <w:sz w:val="22"/>
          <w:szCs w:val="22"/>
        </w:rPr>
        <w:t xml:space="preserve"> </w:t>
      </w:r>
      <w:r w:rsidRPr="006C19E1">
        <w:rPr>
          <w:rFonts w:ascii="Calibri" w:hAnsi="Calibri" w:cs="Calibri"/>
          <w:sz w:val="22"/>
          <w:szCs w:val="22"/>
        </w:rPr>
        <w:t xml:space="preserve">a „Szünidei gyermekétkeztetés” tételsorról </w:t>
      </w:r>
      <w:r w:rsidR="003F4FC8">
        <w:rPr>
          <w:rFonts w:ascii="Calibri" w:hAnsi="Calibri" w:cs="Calibri"/>
          <w:sz w:val="22"/>
          <w:szCs w:val="22"/>
        </w:rPr>
        <w:t>3.763</w:t>
      </w:r>
      <w:r w:rsidRPr="006C19E1">
        <w:rPr>
          <w:rFonts w:ascii="Calibri" w:hAnsi="Calibri" w:cs="Calibri"/>
          <w:sz w:val="22"/>
          <w:szCs w:val="22"/>
        </w:rPr>
        <w:t xml:space="preserve"> eFt összegű előirányzat átcsoportosításra került a feladatot ellátó Pálos Károly Szociális Szolgáltató Központ és Gyermekjóléti Szolgálat intézmény költségvetésébe.</w:t>
      </w:r>
    </w:p>
    <w:p w14:paraId="54861FB7" w14:textId="77777777" w:rsidR="006F07FF" w:rsidRDefault="006F07FF" w:rsidP="006F07FF">
      <w:pPr>
        <w:ind w:left="720"/>
        <w:jc w:val="both"/>
        <w:rPr>
          <w:rFonts w:ascii="Calibri" w:hAnsi="Calibri" w:cs="Calibri"/>
          <w:sz w:val="22"/>
          <w:szCs w:val="22"/>
        </w:rPr>
      </w:pPr>
    </w:p>
    <w:p w14:paraId="707C8E06" w14:textId="64C5FFC3" w:rsidR="00B26409" w:rsidRPr="00F61FE1" w:rsidRDefault="006C19E1" w:rsidP="006F07FF">
      <w:pPr>
        <w:numPr>
          <w:ilvl w:val="0"/>
          <w:numId w:val="8"/>
        </w:numPr>
        <w:jc w:val="both"/>
        <w:rPr>
          <w:rFonts w:ascii="Calibri" w:hAnsi="Calibri" w:cs="Calibri"/>
          <w:sz w:val="22"/>
          <w:szCs w:val="22"/>
        </w:rPr>
      </w:pPr>
      <w:r w:rsidRPr="006F07FF">
        <w:rPr>
          <w:rFonts w:ascii="Calibri" w:hAnsi="Calibri" w:cs="Calibri"/>
          <w:sz w:val="22"/>
          <w:szCs w:val="22"/>
        </w:rPr>
        <w:t xml:space="preserve">A Városi Pedagógusnap lebonyolításában a Szombathelyi Hétszínvirág Óvoda is közreműködött, ezért 100 eFt támogatásban részesült, mely a „Városi pedagógus nap, </w:t>
      </w:r>
      <w:r w:rsidRPr="00F61FE1">
        <w:rPr>
          <w:rFonts w:ascii="Calibri" w:hAnsi="Calibri" w:cs="Calibri"/>
          <w:sz w:val="22"/>
          <w:szCs w:val="22"/>
        </w:rPr>
        <w:t xml:space="preserve">tanévnyitó ünnepség” tételsorról került átcsoportosításra az intézmény költségvetésébe. </w:t>
      </w:r>
    </w:p>
    <w:p w14:paraId="12674EA5" w14:textId="77777777" w:rsidR="00B074B9" w:rsidRPr="00F61FE1" w:rsidRDefault="00B074B9" w:rsidP="006C19E1">
      <w:pPr>
        <w:pStyle w:val="Listaszerbekezds"/>
        <w:jc w:val="both"/>
        <w:rPr>
          <w:rFonts w:ascii="Calibri" w:hAnsi="Calibri" w:cs="Calibri"/>
          <w:sz w:val="22"/>
          <w:szCs w:val="22"/>
        </w:rPr>
      </w:pPr>
    </w:p>
    <w:p w14:paraId="3F93566C" w14:textId="2B18304A" w:rsidR="00B074B9" w:rsidRPr="00F61FE1" w:rsidRDefault="00B074B9" w:rsidP="002524CF">
      <w:pPr>
        <w:pStyle w:val="Listaszerbekezds"/>
        <w:numPr>
          <w:ilvl w:val="0"/>
          <w:numId w:val="8"/>
        </w:numPr>
        <w:jc w:val="both"/>
        <w:rPr>
          <w:rFonts w:ascii="Calibri" w:hAnsi="Calibri" w:cs="Calibri"/>
          <w:sz w:val="22"/>
          <w:szCs w:val="22"/>
        </w:rPr>
      </w:pPr>
      <w:r w:rsidRPr="00F61FE1">
        <w:rPr>
          <w:rFonts w:ascii="Calibri" w:hAnsi="Calibri" w:cs="Calibri"/>
          <w:sz w:val="22"/>
          <w:szCs w:val="22"/>
        </w:rPr>
        <w:t xml:space="preserve">A számviteli szabályok szerint a felhalmozási jellegű kiadásokhoz kapcsolódó fordított áfa tételek összegei átcsoportosításra kerültek a </w:t>
      </w:r>
      <w:r w:rsidR="00F61FE1" w:rsidRPr="00F61FE1">
        <w:rPr>
          <w:rFonts w:ascii="Calibri" w:hAnsi="Calibri" w:cs="Calibri"/>
          <w:sz w:val="22"/>
          <w:szCs w:val="22"/>
        </w:rPr>
        <w:t xml:space="preserve">működési és </w:t>
      </w:r>
      <w:r w:rsidRPr="00F61FE1">
        <w:rPr>
          <w:rFonts w:ascii="Calibri" w:hAnsi="Calibri" w:cs="Calibri"/>
          <w:sz w:val="22"/>
          <w:szCs w:val="22"/>
        </w:rPr>
        <w:t xml:space="preserve">felhalmozási jellegű tételek önálló költségvetési </w:t>
      </w:r>
      <w:r w:rsidR="00F61FE1" w:rsidRPr="00F61FE1">
        <w:rPr>
          <w:rFonts w:ascii="Calibri" w:hAnsi="Calibri" w:cs="Calibri"/>
          <w:sz w:val="22"/>
          <w:szCs w:val="22"/>
        </w:rPr>
        <w:t>tételéről</w:t>
      </w:r>
      <w:r w:rsidRPr="00F61FE1">
        <w:rPr>
          <w:rFonts w:ascii="Calibri" w:hAnsi="Calibri" w:cs="Calibri"/>
          <w:sz w:val="22"/>
          <w:szCs w:val="22"/>
        </w:rPr>
        <w:t xml:space="preserve"> a hozzá tartozó fordított áfa tételsorra mindösszesen </w:t>
      </w:r>
      <w:r w:rsidR="00F61FE1" w:rsidRPr="00F61FE1">
        <w:rPr>
          <w:rFonts w:ascii="Calibri" w:hAnsi="Calibri" w:cs="Calibri"/>
          <w:sz w:val="22"/>
          <w:szCs w:val="22"/>
        </w:rPr>
        <w:t>3.615</w:t>
      </w:r>
      <w:r w:rsidRPr="00F61FE1">
        <w:rPr>
          <w:rFonts w:ascii="Calibri" w:hAnsi="Calibri" w:cs="Calibri"/>
          <w:sz w:val="22"/>
          <w:szCs w:val="22"/>
        </w:rPr>
        <w:t xml:space="preserve"> eFt összegben.</w:t>
      </w:r>
    </w:p>
    <w:p w14:paraId="5906AB68" w14:textId="77777777" w:rsidR="00C731E2" w:rsidRPr="00C731E2" w:rsidRDefault="00C731E2" w:rsidP="00C731E2">
      <w:pPr>
        <w:pStyle w:val="Listaszerbekezds"/>
        <w:rPr>
          <w:rFonts w:ascii="Calibri" w:hAnsi="Calibri" w:cs="Calibri"/>
          <w:sz w:val="22"/>
          <w:szCs w:val="22"/>
        </w:rPr>
      </w:pPr>
    </w:p>
    <w:p w14:paraId="466F6BA0" w14:textId="56A309A1" w:rsidR="00500B0C" w:rsidRPr="00F14DC1" w:rsidRDefault="00D81B6E" w:rsidP="001811A6">
      <w:pPr>
        <w:jc w:val="both"/>
        <w:rPr>
          <w:rFonts w:ascii="Calibri" w:hAnsi="Calibri" w:cs="Calibri"/>
          <w:b/>
          <w:bCs/>
          <w:i/>
          <w:iCs/>
          <w:sz w:val="22"/>
          <w:szCs w:val="22"/>
          <w:u w:val="single"/>
        </w:rPr>
      </w:pPr>
      <w:r w:rsidRPr="004D2289">
        <w:rPr>
          <w:rFonts w:ascii="Calibri" w:hAnsi="Calibri" w:cs="Calibri"/>
          <w:sz w:val="22"/>
          <w:szCs w:val="22"/>
        </w:rPr>
        <w:tab/>
      </w:r>
      <w:r w:rsidR="00295143" w:rsidRPr="00F14DC1">
        <w:rPr>
          <w:rFonts w:ascii="Calibri" w:hAnsi="Calibri" w:cs="Calibri"/>
          <w:b/>
          <w:bCs/>
          <w:i/>
          <w:iCs/>
          <w:sz w:val="22"/>
          <w:szCs w:val="22"/>
          <w:u w:val="single"/>
        </w:rPr>
        <w:t>g</w:t>
      </w:r>
      <w:r w:rsidR="00500B0C" w:rsidRPr="00F14DC1">
        <w:rPr>
          <w:rFonts w:ascii="Calibri" w:hAnsi="Calibri" w:cs="Calibri"/>
          <w:b/>
          <w:bCs/>
          <w:i/>
          <w:iCs/>
          <w:sz w:val="22"/>
          <w:szCs w:val="22"/>
          <w:u w:val="single"/>
        </w:rPr>
        <w:t>)</w:t>
      </w:r>
      <w:r w:rsidR="005F445C">
        <w:rPr>
          <w:rFonts w:ascii="Calibri" w:hAnsi="Calibri" w:cs="Calibri"/>
          <w:b/>
          <w:bCs/>
          <w:i/>
          <w:iCs/>
          <w:sz w:val="22"/>
          <w:szCs w:val="22"/>
          <w:u w:val="single"/>
        </w:rPr>
        <w:t xml:space="preserve"> </w:t>
      </w:r>
      <w:r w:rsidR="00500B0C" w:rsidRPr="00F14DC1">
        <w:rPr>
          <w:rFonts w:ascii="Calibri" w:hAnsi="Calibri" w:cs="Calibri"/>
          <w:b/>
          <w:bCs/>
          <w:i/>
          <w:iCs/>
          <w:sz w:val="22"/>
          <w:szCs w:val="22"/>
          <w:u w:val="single"/>
        </w:rPr>
        <w:t xml:space="preserve">egyenleg: </w:t>
      </w:r>
      <w:r w:rsidR="00500B0C" w:rsidRPr="00D21214">
        <w:rPr>
          <w:rFonts w:ascii="Calibri" w:hAnsi="Calibri" w:cs="Calibri"/>
          <w:b/>
          <w:bCs/>
          <w:i/>
          <w:iCs/>
          <w:sz w:val="22"/>
          <w:szCs w:val="22"/>
          <w:u w:val="single"/>
        </w:rPr>
        <w:t xml:space="preserve">0 </w:t>
      </w:r>
      <w:r w:rsidR="00500B0C" w:rsidRPr="00F14DC1">
        <w:rPr>
          <w:rFonts w:ascii="Calibri" w:hAnsi="Calibri" w:cs="Calibri"/>
          <w:b/>
          <w:bCs/>
          <w:i/>
          <w:iCs/>
          <w:sz w:val="22"/>
          <w:szCs w:val="22"/>
          <w:u w:val="single"/>
        </w:rPr>
        <w:t xml:space="preserve"> eFt</w:t>
      </w:r>
    </w:p>
    <w:p w14:paraId="3B80B74F" w14:textId="77777777" w:rsidR="00500B0C" w:rsidRPr="00F14DC1" w:rsidRDefault="00500B0C" w:rsidP="00500B0C">
      <w:pPr>
        <w:tabs>
          <w:tab w:val="left" w:pos="840"/>
        </w:tabs>
        <w:rPr>
          <w:rFonts w:ascii="Calibri" w:hAnsi="Calibri" w:cs="Calibri"/>
          <w:b/>
          <w:bCs/>
          <w:i/>
          <w:iCs/>
          <w:sz w:val="22"/>
          <w:szCs w:val="22"/>
          <w:u w:val="single"/>
        </w:rPr>
      </w:pPr>
    </w:p>
    <w:p w14:paraId="540537E7" w14:textId="2D973AA3" w:rsidR="00500B0C" w:rsidRPr="00FC4CAB" w:rsidRDefault="00891ED0" w:rsidP="00891ED0">
      <w:pPr>
        <w:ind w:left="360"/>
        <w:rPr>
          <w:rFonts w:ascii="Calibri" w:hAnsi="Calibri" w:cs="Calibri"/>
          <w:b/>
          <w:bCs/>
          <w:i/>
          <w:iCs/>
          <w:sz w:val="22"/>
          <w:szCs w:val="22"/>
          <w:u w:val="single"/>
        </w:rPr>
      </w:pPr>
      <w:r>
        <w:rPr>
          <w:rFonts w:ascii="Calibri" w:hAnsi="Calibri" w:cs="Calibri"/>
          <w:b/>
          <w:bCs/>
          <w:i/>
          <w:iCs/>
          <w:sz w:val="22"/>
          <w:szCs w:val="22"/>
          <w:u w:val="single"/>
        </w:rPr>
        <w:t>I.</w:t>
      </w:r>
      <w:r w:rsidR="00500B0C" w:rsidRPr="00F14DC1">
        <w:rPr>
          <w:rFonts w:ascii="Calibri" w:hAnsi="Calibri" w:cs="Calibri"/>
          <w:b/>
          <w:bCs/>
          <w:i/>
          <w:iCs/>
          <w:sz w:val="22"/>
          <w:szCs w:val="22"/>
          <w:u w:val="single"/>
        </w:rPr>
        <w:t>Az utólagos tudomás</w:t>
      </w:r>
      <w:r w:rsidR="00295143" w:rsidRPr="00F14DC1">
        <w:rPr>
          <w:rFonts w:ascii="Calibri" w:hAnsi="Calibri" w:cs="Calibri"/>
          <w:b/>
          <w:bCs/>
          <w:i/>
          <w:iCs/>
          <w:sz w:val="22"/>
          <w:szCs w:val="22"/>
          <w:u w:val="single"/>
        </w:rPr>
        <w:t xml:space="preserve">ul vételt jelentő </w:t>
      </w:r>
      <w:r w:rsidR="00295143" w:rsidRPr="00FC4CAB">
        <w:rPr>
          <w:rFonts w:ascii="Calibri" w:hAnsi="Calibri" w:cs="Calibri"/>
          <w:b/>
          <w:bCs/>
          <w:i/>
          <w:iCs/>
          <w:sz w:val="22"/>
          <w:szCs w:val="22"/>
          <w:u w:val="single"/>
        </w:rPr>
        <w:t>tételek a) – g</w:t>
      </w:r>
      <w:r w:rsidR="00500B0C" w:rsidRPr="00FC4CAB">
        <w:rPr>
          <w:rFonts w:ascii="Calibri" w:hAnsi="Calibri" w:cs="Calibri"/>
          <w:b/>
          <w:bCs/>
          <w:i/>
          <w:iCs/>
          <w:sz w:val="22"/>
          <w:szCs w:val="22"/>
          <w:u w:val="single"/>
        </w:rPr>
        <w:t xml:space="preserve">)  egyenlege: </w:t>
      </w:r>
      <w:r w:rsidR="003F6CA1" w:rsidRPr="00FC4CAB">
        <w:rPr>
          <w:rFonts w:ascii="Calibri" w:hAnsi="Calibri" w:cs="Calibri"/>
          <w:b/>
          <w:bCs/>
          <w:i/>
          <w:iCs/>
          <w:sz w:val="22"/>
          <w:szCs w:val="22"/>
          <w:u w:val="single"/>
        </w:rPr>
        <w:t xml:space="preserve"> </w:t>
      </w:r>
      <w:r w:rsidR="00837FD9">
        <w:rPr>
          <w:rFonts w:ascii="Calibri" w:hAnsi="Calibri" w:cs="Calibri"/>
          <w:b/>
          <w:bCs/>
          <w:i/>
          <w:iCs/>
          <w:sz w:val="22"/>
          <w:szCs w:val="22"/>
          <w:u w:val="single"/>
        </w:rPr>
        <w:t>+</w:t>
      </w:r>
      <w:r w:rsidR="00837FD9" w:rsidRPr="00837FD9">
        <w:rPr>
          <w:rFonts w:ascii="Calibri" w:hAnsi="Calibri" w:cs="Calibri"/>
          <w:b/>
          <w:bCs/>
          <w:i/>
          <w:iCs/>
          <w:sz w:val="22"/>
          <w:szCs w:val="22"/>
          <w:u w:val="single"/>
        </w:rPr>
        <w:t>146.585</w:t>
      </w:r>
      <w:r w:rsidR="007154D9" w:rsidRPr="00837FD9">
        <w:rPr>
          <w:rFonts w:ascii="Calibri" w:hAnsi="Calibri" w:cs="Calibri"/>
          <w:b/>
          <w:bCs/>
          <w:i/>
          <w:iCs/>
          <w:sz w:val="22"/>
          <w:szCs w:val="22"/>
          <w:u w:val="single"/>
        </w:rPr>
        <w:t xml:space="preserve"> </w:t>
      </w:r>
      <w:r w:rsidR="00500B0C" w:rsidRPr="00837FD9">
        <w:rPr>
          <w:rFonts w:ascii="Calibri" w:hAnsi="Calibri" w:cs="Calibri"/>
          <w:b/>
          <w:bCs/>
          <w:i/>
          <w:iCs/>
          <w:sz w:val="22"/>
          <w:szCs w:val="22"/>
          <w:u w:val="single"/>
        </w:rPr>
        <w:t>eFt</w:t>
      </w:r>
    </w:p>
    <w:p w14:paraId="673E6977" w14:textId="77777777" w:rsidR="00487DD4" w:rsidRDefault="00487DD4" w:rsidP="00500B0C">
      <w:pPr>
        <w:rPr>
          <w:rFonts w:ascii="Calibri" w:hAnsi="Calibri" w:cs="Calibri"/>
          <w:b/>
          <w:sz w:val="22"/>
          <w:szCs w:val="22"/>
        </w:rPr>
      </w:pPr>
    </w:p>
    <w:p w14:paraId="7F3896C0" w14:textId="20F96521" w:rsidR="00500B0C" w:rsidRDefault="00500B0C" w:rsidP="00500B0C">
      <w:pPr>
        <w:rPr>
          <w:rFonts w:ascii="Calibri" w:hAnsi="Calibri" w:cs="Calibri"/>
          <w:b/>
          <w:sz w:val="22"/>
          <w:szCs w:val="22"/>
        </w:rPr>
      </w:pPr>
      <w:r w:rsidRPr="00F14DC1">
        <w:rPr>
          <w:rFonts w:ascii="Calibri" w:hAnsi="Calibri" w:cs="Calibri"/>
          <w:b/>
          <w:sz w:val="22"/>
          <w:szCs w:val="22"/>
        </w:rPr>
        <w:t>II.</w:t>
      </w:r>
      <w:r w:rsidR="00B911D2" w:rsidRPr="00F14DC1">
        <w:rPr>
          <w:rFonts w:ascii="Calibri" w:hAnsi="Calibri" w:cs="Calibri"/>
          <w:b/>
          <w:sz w:val="22"/>
          <w:szCs w:val="22"/>
        </w:rPr>
        <w:t>Közgyűlési</w:t>
      </w:r>
      <w:r w:rsidR="00A26220" w:rsidRPr="00F14DC1">
        <w:rPr>
          <w:rFonts w:ascii="Calibri" w:hAnsi="Calibri" w:cs="Calibri"/>
          <w:b/>
          <w:sz w:val="22"/>
          <w:szCs w:val="22"/>
        </w:rPr>
        <w:t xml:space="preserve"> határozatok</w:t>
      </w:r>
      <w:r w:rsidRPr="00F14DC1">
        <w:rPr>
          <w:rFonts w:ascii="Calibri" w:hAnsi="Calibri" w:cs="Calibri"/>
          <w:b/>
          <w:sz w:val="22"/>
          <w:szCs w:val="22"/>
        </w:rPr>
        <w:t xml:space="preserve"> alapján biztosított tételek</w:t>
      </w:r>
    </w:p>
    <w:p w14:paraId="38FC303F" w14:textId="77777777" w:rsidR="007D1411" w:rsidRPr="00F14DC1" w:rsidRDefault="007D1411" w:rsidP="00500B0C">
      <w:pPr>
        <w:rPr>
          <w:rFonts w:ascii="Calibri" w:hAnsi="Calibri" w:cs="Calibri"/>
          <w:b/>
          <w:sz w:val="22"/>
          <w:szCs w:val="22"/>
        </w:rPr>
      </w:pPr>
    </w:p>
    <w:p w14:paraId="118B14A3" w14:textId="08C4D441" w:rsidR="00BA06AE" w:rsidRPr="00AE4365" w:rsidRDefault="001022BC" w:rsidP="009F5B8C">
      <w:pPr>
        <w:pStyle w:val="Listaszerbekezds"/>
        <w:numPr>
          <w:ilvl w:val="0"/>
          <w:numId w:val="4"/>
        </w:numPr>
        <w:ind w:left="360"/>
        <w:jc w:val="both"/>
        <w:rPr>
          <w:rFonts w:asciiTheme="minorHAnsi" w:hAnsiTheme="minorHAnsi" w:cstheme="minorHAnsi"/>
          <w:sz w:val="22"/>
          <w:szCs w:val="22"/>
        </w:rPr>
      </w:pPr>
      <w:r w:rsidRPr="00AE4365">
        <w:rPr>
          <w:rFonts w:asciiTheme="minorHAnsi" w:hAnsiTheme="minorHAnsi" w:cstheme="minorHAnsi"/>
          <w:sz w:val="22"/>
          <w:szCs w:val="22"/>
        </w:rPr>
        <w:t xml:space="preserve">A </w:t>
      </w:r>
      <w:r w:rsidR="00EA7826" w:rsidRPr="00454D34">
        <w:rPr>
          <w:rFonts w:asciiTheme="minorHAnsi" w:hAnsiTheme="minorHAnsi" w:cstheme="minorHAnsi"/>
          <w:b/>
          <w:bCs/>
          <w:i/>
          <w:iCs/>
          <w:sz w:val="22"/>
          <w:szCs w:val="22"/>
        </w:rPr>
        <w:t>187/2025. (VI.19.) K</w:t>
      </w:r>
      <w:r w:rsidR="005C1D22" w:rsidRPr="00454D34">
        <w:rPr>
          <w:rFonts w:asciiTheme="minorHAnsi" w:hAnsiTheme="minorHAnsi" w:cstheme="minorHAnsi"/>
          <w:b/>
          <w:bCs/>
          <w:i/>
          <w:iCs/>
          <w:sz w:val="22"/>
          <w:szCs w:val="22"/>
        </w:rPr>
        <w:t>gy. sz. határozatban</w:t>
      </w:r>
      <w:r w:rsidR="005C1D22" w:rsidRPr="00AE4365">
        <w:rPr>
          <w:rFonts w:asciiTheme="minorHAnsi" w:hAnsiTheme="minorHAnsi" w:cstheme="minorHAnsi"/>
          <w:sz w:val="22"/>
          <w:szCs w:val="22"/>
        </w:rPr>
        <w:t xml:space="preserve"> </w:t>
      </w:r>
      <w:r w:rsidRPr="00AE4365">
        <w:rPr>
          <w:rFonts w:asciiTheme="minorHAnsi" w:hAnsiTheme="minorHAnsi" w:cstheme="minorHAnsi"/>
          <w:sz w:val="22"/>
          <w:szCs w:val="22"/>
        </w:rPr>
        <w:t>foglaltak</w:t>
      </w:r>
      <w:r w:rsidR="00EA7826" w:rsidRPr="00AE4365">
        <w:rPr>
          <w:rFonts w:asciiTheme="minorHAnsi" w:hAnsiTheme="minorHAnsi" w:cstheme="minorHAnsi"/>
          <w:sz w:val="22"/>
          <w:szCs w:val="22"/>
        </w:rPr>
        <w:t>hoz kapcsolódóan a Versenyképes Járások Program keretében</w:t>
      </w:r>
      <w:bookmarkStart w:id="1" w:name="_Hlk162962118"/>
      <w:r w:rsidR="00FB19D7" w:rsidRPr="00AE4365">
        <w:rPr>
          <w:rFonts w:asciiTheme="minorHAnsi" w:hAnsiTheme="minorHAnsi" w:cstheme="minorHAnsi"/>
          <w:sz w:val="22"/>
          <w:szCs w:val="22"/>
        </w:rPr>
        <w:t xml:space="preserve"> a Közigazgatási és területfejlesztési Minisztériumtól kapott értesítés alapján az alábbi bevételek kerülnek beemelésre jelen rendelet módosításban.</w:t>
      </w:r>
    </w:p>
    <w:p w14:paraId="4838D607" w14:textId="5687275D" w:rsidR="00FB19D7" w:rsidRPr="00AE4365" w:rsidRDefault="00FB19D7" w:rsidP="00FB19D7">
      <w:pPr>
        <w:pStyle w:val="Listaszerbekezds"/>
        <w:numPr>
          <w:ilvl w:val="0"/>
          <w:numId w:val="21"/>
        </w:numPr>
        <w:jc w:val="both"/>
        <w:rPr>
          <w:rFonts w:asciiTheme="minorHAnsi" w:hAnsiTheme="minorHAnsi" w:cstheme="minorHAnsi"/>
          <w:sz w:val="22"/>
          <w:szCs w:val="22"/>
        </w:rPr>
      </w:pPr>
      <w:r w:rsidRPr="00AE4365">
        <w:rPr>
          <w:rFonts w:asciiTheme="minorHAnsi" w:hAnsiTheme="minorHAnsi" w:cstheme="minorHAnsi"/>
          <w:sz w:val="22"/>
          <w:szCs w:val="22"/>
        </w:rPr>
        <w:t>Közösségi közlekedés fejlesztése és fenntartása 85.612 eFt</w:t>
      </w:r>
    </w:p>
    <w:p w14:paraId="47779F96" w14:textId="1F27DBA7" w:rsidR="00FB19D7" w:rsidRPr="00AE4365" w:rsidRDefault="00FB19D7" w:rsidP="00FB19D7">
      <w:pPr>
        <w:pStyle w:val="Listaszerbekezds"/>
        <w:numPr>
          <w:ilvl w:val="0"/>
          <w:numId w:val="21"/>
        </w:numPr>
        <w:jc w:val="both"/>
        <w:rPr>
          <w:rFonts w:asciiTheme="minorHAnsi" w:hAnsiTheme="minorHAnsi" w:cstheme="minorHAnsi"/>
          <w:sz w:val="22"/>
          <w:szCs w:val="22"/>
        </w:rPr>
      </w:pPr>
      <w:r w:rsidRPr="00AE4365">
        <w:rPr>
          <w:rFonts w:asciiTheme="minorHAnsi" w:hAnsiTheme="minorHAnsi" w:cstheme="minorHAnsi"/>
          <w:sz w:val="22"/>
          <w:szCs w:val="22"/>
        </w:rPr>
        <w:t>Minőségi közétkeztetés biztosítása 64.388 eFt</w:t>
      </w:r>
    </w:p>
    <w:p w14:paraId="28B7E640" w14:textId="23F7154F" w:rsidR="00FB19D7" w:rsidRPr="00AE4365" w:rsidRDefault="00FB19D7" w:rsidP="00FB19D7">
      <w:pPr>
        <w:pStyle w:val="Listaszerbekezds"/>
        <w:numPr>
          <w:ilvl w:val="0"/>
          <w:numId w:val="21"/>
        </w:numPr>
        <w:jc w:val="both"/>
        <w:rPr>
          <w:rFonts w:asciiTheme="minorHAnsi" w:hAnsiTheme="minorHAnsi" w:cstheme="minorHAnsi"/>
          <w:sz w:val="22"/>
          <w:szCs w:val="22"/>
        </w:rPr>
      </w:pPr>
      <w:r w:rsidRPr="00AE4365">
        <w:rPr>
          <w:rFonts w:asciiTheme="minorHAnsi" w:hAnsiTheme="minorHAnsi" w:cstheme="minorHAnsi"/>
          <w:sz w:val="22"/>
          <w:szCs w:val="22"/>
        </w:rPr>
        <w:t>Szombathelyi Fedett Uszoda és Termálfürdő fejlesztése és fenntartása 100.000 eFt.</w:t>
      </w:r>
    </w:p>
    <w:p w14:paraId="43BE7F6F" w14:textId="139C7A11" w:rsidR="006E686C" w:rsidRDefault="006E686C" w:rsidP="00454D34">
      <w:pPr>
        <w:ind w:left="426"/>
        <w:jc w:val="both"/>
        <w:rPr>
          <w:rFonts w:asciiTheme="minorHAnsi" w:hAnsiTheme="minorHAnsi" w:cstheme="minorHAnsi"/>
          <w:sz w:val="22"/>
          <w:szCs w:val="22"/>
        </w:rPr>
      </w:pPr>
      <w:r>
        <w:rPr>
          <w:rFonts w:asciiTheme="minorHAnsi" w:hAnsiTheme="minorHAnsi" w:cstheme="minorHAnsi"/>
          <w:sz w:val="22"/>
          <w:szCs w:val="22"/>
        </w:rPr>
        <w:t>Ezen bevételekkel szemben egyúttal szükséges rendezni a kiadási előirányzatokat, mely azt jelenti, hogy a 2025. évi eredeti költségvetési rendeletben tartalékba helyezett összegek felszabadításra kerülnek</w:t>
      </w:r>
      <w:r w:rsidR="00C35F6E">
        <w:rPr>
          <w:rFonts w:asciiTheme="minorHAnsi" w:hAnsiTheme="minorHAnsi" w:cstheme="minorHAnsi"/>
          <w:sz w:val="22"/>
          <w:szCs w:val="22"/>
        </w:rPr>
        <w:t xml:space="preserve">, a </w:t>
      </w:r>
      <w:r w:rsidR="00C35F6E" w:rsidRPr="00815EAF">
        <w:rPr>
          <w:rFonts w:asciiTheme="minorHAnsi" w:hAnsiTheme="minorHAnsi" w:cstheme="minorHAnsi"/>
          <w:sz w:val="22"/>
          <w:szCs w:val="22"/>
        </w:rPr>
        <w:t>két közgyűlés között eltelt időszak</w:t>
      </w:r>
      <w:r w:rsidR="00C35F6E">
        <w:rPr>
          <w:rFonts w:asciiTheme="minorHAnsi" w:hAnsiTheme="minorHAnsi" w:cstheme="minorHAnsi"/>
          <w:sz w:val="22"/>
          <w:szCs w:val="22"/>
        </w:rPr>
        <w:t xml:space="preserve">ban polgármesteri rendelkezések végrehajtásra kerülnek és a </w:t>
      </w:r>
      <w:r>
        <w:rPr>
          <w:rFonts w:asciiTheme="minorHAnsi" w:hAnsiTheme="minorHAnsi" w:cstheme="minorHAnsi"/>
          <w:sz w:val="22"/>
          <w:szCs w:val="22"/>
        </w:rPr>
        <w:t>tényleges kiadási előirányzatok pedig megemelésre</w:t>
      </w:r>
      <w:r w:rsidR="00C35F6E">
        <w:rPr>
          <w:rFonts w:asciiTheme="minorHAnsi" w:hAnsiTheme="minorHAnsi" w:cstheme="minorHAnsi"/>
          <w:sz w:val="22"/>
          <w:szCs w:val="22"/>
        </w:rPr>
        <w:t xml:space="preserve"> kerülnek</w:t>
      </w:r>
      <w:r>
        <w:rPr>
          <w:rFonts w:asciiTheme="minorHAnsi" w:hAnsiTheme="minorHAnsi" w:cstheme="minorHAnsi"/>
          <w:sz w:val="22"/>
          <w:szCs w:val="22"/>
        </w:rPr>
        <w:t xml:space="preserve">. </w:t>
      </w:r>
    </w:p>
    <w:p w14:paraId="236568D2" w14:textId="603768D5" w:rsidR="00815EAF" w:rsidRDefault="00815EAF" w:rsidP="00454D34">
      <w:pPr>
        <w:ind w:left="426"/>
        <w:jc w:val="both"/>
        <w:rPr>
          <w:rFonts w:asciiTheme="minorHAnsi" w:hAnsiTheme="minorHAnsi" w:cstheme="minorHAnsi"/>
          <w:sz w:val="22"/>
          <w:szCs w:val="22"/>
        </w:rPr>
      </w:pPr>
      <w:r>
        <w:rPr>
          <w:rFonts w:asciiTheme="minorHAnsi" w:hAnsiTheme="minorHAnsi" w:cstheme="minorHAnsi"/>
          <w:sz w:val="22"/>
          <w:szCs w:val="22"/>
        </w:rPr>
        <w:t>A fentiekben ismertetett tételek összevont egyenlege +180.000 eFt.</w:t>
      </w:r>
    </w:p>
    <w:p w14:paraId="774EE326" w14:textId="48BD9A68" w:rsidR="001022BC" w:rsidRPr="00454D34" w:rsidRDefault="00815EAF" w:rsidP="00E85F5E">
      <w:pPr>
        <w:ind w:firstLine="284"/>
        <w:jc w:val="both"/>
        <w:rPr>
          <w:rFonts w:asciiTheme="minorHAnsi" w:hAnsiTheme="minorHAnsi" w:cstheme="minorHAnsi"/>
          <w:b/>
          <w:bCs/>
          <w:i/>
          <w:iCs/>
          <w:sz w:val="22"/>
          <w:szCs w:val="22"/>
        </w:rPr>
      </w:pPr>
      <w:r w:rsidRPr="00454D34">
        <w:rPr>
          <w:rFonts w:asciiTheme="minorHAnsi" w:hAnsiTheme="minorHAnsi" w:cstheme="minorHAnsi"/>
          <w:b/>
          <w:bCs/>
          <w:i/>
          <w:iCs/>
          <w:sz w:val="22"/>
          <w:szCs w:val="22"/>
        </w:rPr>
        <w:t xml:space="preserve"> </w:t>
      </w:r>
      <w:r w:rsidR="001022BC" w:rsidRPr="00454D34">
        <w:rPr>
          <w:rFonts w:asciiTheme="minorHAnsi" w:hAnsiTheme="minorHAnsi" w:cstheme="minorHAnsi"/>
          <w:b/>
          <w:bCs/>
          <w:i/>
          <w:iCs/>
          <w:sz w:val="22"/>
          <w:szCs w:val="22"/>
        </w:rPr>
        <w:t xml:space="preserve">(egyenleg: </w:t>
      </w:r>
      <w:r w:rsidR="00FB19D7" w:rsidRPr="00454D34">
        <w:rPr>
          <w:rFonts w:asciiTheme="minorHAnsi" w:hAnsiTheme="minorHAnsi" w:cstheme="minorHAnsi"/>
          <w:b/>
          <w:bCs/>
          <w:i/>
          <w:iCs/>
          <w:sz w:val="22"/>
          <w:szCs w:val="22"/>
        </w:rPr>
        <w:t>+180.000</w:t>
      </w:r>
      <w:r w:rsidR="001022BC" w:rsidRPr="00454D34">
        <w:rPr>
          <w:rFonts w:asciiTheme="minorHAnsi" w:hAnsiTheme="minorHAnsi" w:cstheme="minorHAnsi"/>
          <w:b/>
          <w:bCs/>
          <w:i/>
          <w:iCs/>
          <w:sz w:val="22"/>
          <w:szCs w:val="22"/>
        </w:rPr>
        <w:t xml:space="preserve"> eFt) </w:t>
      </w:r>
    </w:p>
    <w:p w14:paraId="75AB919A" w14:textId="77777777" w:rsidR="00891ED0" w:rsidRPr="00454D34" w:rsidRDefault="00891ED0" w:rsidP="001022BC">
      <w:pPr>
        <w:ind w:left="360"/>
        <w:jc w:val="both"/>
        <w:rPr>
          <w:rFonts w:asciiTheme="minorHAnsi" w:hAnsiTheme="minorHAnsi" w:cstheme="minorHAnsi"/>
          <w:b/>
          <w:i/>
          <w:sz w:val="22"/>
          <w:szCs w:val="22"/>
        </w:rPr>
      </w:pPr>
    </w:p>
    <w:p w14:paraId="4F1AB5B4" w14:textId="4FA61E96" w:rsidR="00891ED0" w:rsidRDefault="002E0FE3" w:rsidP="002D794E">
      <w:pPr>
        <w:pStyle w:val="Listaszerbekezds"/>
        <w:numPr>
          <w:ilvl w:val="0"/>
          <w:numId w:val="4"/>
        </w:numPr>
        <w:ind w:left="284" w:hanging="284"/>
        <w:jc w:val="both"/>
        <w:rPr>
          <w:rFonts w:asciiTheme="minorHAnsi" w:hAnsiTheme="minorHAnsi" w:cstheme="minorHAnsi"/>
          <w:bCs/>
          <w:iCs/>
          <w:sz w:val="22"/>
          <w:szCs w:val="22"/>
        </w:rPr>
      </w:pPr>
      <w:r>
        <w:rPr>
          <w:rFonts w:asciiTheme="minorHAnsi" w:hAnsiTheme="minorHAnsi" w:cstheme="minorHAnsi"/>
          <w:bCs/>
          <w:iCs/>
          <w:sz w:val="22"/>
          <w:szCs w:val="22"/>
        </w:rPr>
        <w:t xml:space="preserve">A </w:t>
      </w:r>
      <w:r w:rsidRPr="002E0FE3">
        <w:rPr>
          <w:rFonts w:asciiTheme="minorHAnsi" w:hAnsiTheme="minorHAnsi" w:cstheme="minorHAnsi"/>
          <w:b/>
          <w:i/>
          <w:sz w:val="22"/>
          <w:szCs w:val="22"/>
        </w:rPr>
        <w:t>206/2025. (VI.19.) Kgy.sz. határozatban</w:t>
      </w:r>
      <w:r>
        <w:rPr>
          <w:rFonts w:asciiTheme="minorHAnsi" w:hAnsiTheme="minorHAnsi" w:cstheme="minorHAnsi"/>
          <w:bCs/>
          <w:iCs/>
          <w:sz w:val="22"/>
          <w:szCs w:val="22"/>
        </w:rPr>
        <w:t xml:space="preserve"> foglaltak alapján 17.500 eFt összeg biztosításra került aszerint, hogy a „</w:t>
      </w:r>
      <w:r w:rsidRPr="002E0FE3">
        <w:rPr>
          <w:rFonts w:asciiTheme="minorHAnsi" w:hAnsiTheme="minorHAnsi" w:cstheme="minorHAnsi"/>
          <w:bCs/>
          <w:iCs/>
          <w:sz w:val="22"/>
          <w:szCs w:val="22"/>
        </w:rPr>
        <w:t>Parkfenntartás - SZOMPARK Kft.</w:t>
      </w:r>
      <w:r>
        <w:rPr>
          <w:rFonts w:asciiTheme="minorHAnsi" w:hAnsiTheme="minorHAnsi" w:cstheme="minorHAnsi"/>
          <w:bCs/>
          <w:iCs/>
          <w:sz w:val="22"/>
          <w:szCs w:val="22"/>
        </w:rPr>
        <w:t xml:space="preserve">” tételen, a Szombathelyi Parkfenntartási Kft. alkalmazottjainak egyszeri bérkiegészítése érdekében. </w:t>
      </w:r>
    </w:p>
    <w:p w14:paraId="4FD388EA" w14:textId="4007262B" w:rsidR="00891ED0" w:rsidRPr="00454D34" w:rsidRDefault="002E0FE3" w:rsidP="000F230A">
      <w:pPr>
        <w:ind w:firstLine="284"/>
        <w:jc w:val="both"/>
        <w:rPr>
          <w:rFonts w:asciiTheme="minorHAnsi" w:hAnsiTheme="minorHAnsi" w:cstheme="minorHAnsi"/>
          <w:b/>
          <w:i/>
          <w:sz w:val="22"/>
          <w:szCs w:val="22"/>
        </w:rPr>
      </w:pPr>
      <w:r w:rsidRPr="002E0FE3">
        <w:rPr>
          <w:rFonts w:asciiTheme="minorHAnsi" w:hAnsiTheme="minorHAnsi" w:cstheme="minorHAnsi"/>
          <w:b/>
          <w:i/>
          <w:sz w:val="22"/>
          <w:szCs w:val="22"/>
        </w:rPr>
        <w:t xml:space="preserve">(egyenleg: </w:t>
      </w:r>
      <w:r>
        <w:rPr>
          <w:rFonts w:asciiTheme="minorHAnsi" w:hAnsiTheme="minorHAnsi" w:cstheme="minorHAnsi"/>
          <w:b/>
          <w:i/>
          <w:sz w:val="22"/>
          <w:szCs w:val="22"/>
        </w:rPr>
        <w:t>-17.500</w:t>
      </w:r>
      <w:r w:rsidRPr="002E0FE3">
        <w:rPr>
          <w:rFonts w:asciiTheme="minorHAnsi" w:hAnsiTheme="minorHAnsi" w:cstheme="minorHAnsi"/>
          <w:b/>
          <w:i/>
          <w:sz w:val="22"/>
          <w:szCs w:val="22"/>
        </w:rPr>
        <w:t xml:space="preserve"> eFt)</w:t>
      </w:r>
    </w:p>
    <w:p w14:paraId="55FD09FF" w14:textId="77777777" w:rsidR="00891ED0" w:rsidRPr="00454D34" w:rsidRDefault="00891ED0" w:rsidP="001022BC">
      <w:pPr>
        <w:ind w:left="360"/>
        <w:jc w:val="both"/>
        <w:rPr>
          <w:rFonts w:asciiTheme="minorHAnsi" w:hAnsiTheme="minorHAnsi" w:cstheme="minorHAnsi"/>
          <w:b/>
          <w:i/>
          <w:sz w:val="22"/>
          <w:szCs w:val="22"/>
        </w:rPr>
      </w:pPr>
    </w:p>
    <w:p w14:paraId="459C1158" w14:textId="4C4FAC30" w:rsidR="002E0FE3" w:rsidRPr="002D794E" w:rsidRDefault="002E0FE3" w:rsidP="002D794E">
      <w:pPr>
        <w:pStyle w:val="Listaszerbekezds"/>
        <w:numPr>
          <w:ilvl w:val="0"/>
          <w:numId w:val="4"/>
        </w:numPr>
        <w:ind w:left="284" w:hanging="284"/>
        <w:jc w:val="both"/>
        <w:rPr>
          <w:rFonts w:asciiTheme="minorHAnsi" w:hAnsiTheme="minorHAnsi" w:cstheme="minorHAnsi"/>
          <w:bCs/>
          <w:iCs/>
          <w:sz w:val="22"/>
          <w:szCs w:val="22"/>
        </w:rPr>
      </w:pPr>
      <w:r w:rsidRPr="002D794E">
        <w:rPr>
          <w:rFonts w:asciiTheme="minorHAnsi" w:hAnsiTheme="minorHAnsi" w:cstheme="minorHAnsi"/>
          <w:bCs/>
          <w:iCs/>
          <w:sz w:val="22"/>
          <w:szCs w:val="22"/>
        </w:rPr>
        <w:t xml:space="preserve">A </w:t>
      </w:r>
      <w:r w:rsidRPr="002D794E">
        <w:rPr>
          <w:rFonts w:asciiTheme="minorHAnsi" w:hAnsiTheme="minorHAnsi" w:cstheme="minorHAnsi"/>
          <w:b/>
          <w:i/>
          <w:sz w:val="22"/>
          <w:szCs w:val="22"/>
        </w:rPr>
        <w:t xml:space="preserve">209/2025. (VI.19.) Kgy.sz. határozat </w:t>
      </w:r>
      <w:r w:rsidRPr="002D794E">
        <w:rPr>
          <w:rFonts w:asciiTheme="minorHAnsi" w:hAnsiTheme="minorHAnsi" w:cstheme="minorHAnsi"/>
          <w:bCs/>
          <w:iCs/>
          <w:sz w:val="22"/>
          <w:szCs w:val="22"/>
        </w:rPr>
        <w:t xml:space="preserve">alapján a Pap árok állapotának javításához, befogadóképességének növeléséhez, mederkotráshoz szükséges 40.000 eFt összegű költségvetési forrás biztosításra került. </w:t>
      </w:r>
    </w:p>
    <w:p w14:paraId="42E2BB3C" w14:textId="0F8FFE35" w:rsidR="00891ED0" w:rsidRPr="00454D34" w:rsidRDefault="002E0FE3" w:rsidP="000F230A">
      <w:pPr>
        <w:ind w:firstLine="284"/>
        <w:jc w:val="both"/>
        <w:rPr>
          <w:rFonts w:asciiTheme="minorHAnsi" w:hAnsiTheme="minorHAnsi" w:cstheme="minorHAnsi"/>
          <w:b/>
          <w:i/>
          <w:sz w:val="22"/>
          <w:szCs w:val="22"/>
        </w:rPr>
      </w:pPr>
      <w:r w:rsidRPr="002E0FE3">
        <w:rPr>
          <w:rFonts w:asciiTheme="minorHAnsi" w:hAnsiTheme="minorHAnsi" w:cstheme="minorHAnsi"/>
          <w:b/>
          <w:i/>
          <w:sz w:val="22"/>
          <w:szCs w:val="22"/>
        </w:rPr>
        <w:t>(egyenleg: -</w:t>
      </w:r>
      <w:r>
        <w:rPr>
          <w:rFonts w:asciiTheme="minorHAnsi" w:hAnsiTheme="minorHAnsi" w:cstheme="minorHAnsi"/>
          <w:b/>
          <w:i/>
          <w:sz w:val="22"/>
          <w:szCs w:val="22"/>
        </w:rPr>
        <w:t>40.000</w:t>
      </w:r>
      <w:r w:rsidRPr="002E0FE3">
        <w:rPr>
          <w:rFonts w:asciiTheme="minorHAnsi" w:hAnsiTheme="minorHAnsi" w:cstheme="minorHAnsi"/>
          <w:b/>
          <w:i/>
          <w:sz w:val="22"/>
          <w:szCs w:val="22"/>
        </w:rPr>
        <w:t xml:space="preserve"> eFt)</w:t>
      </w:r>
    </w:p>
    <w:p w14:paraId="099BCEFA" w14:textId="77777777" w:rsidR="00891ED0" w:rsidRPr="00454D34" w:rsidRDefault="00891ED0" w:rsidP="001022BC">
      <w:pPr>
        <w:ind w:left="360"/>
        <w:jc w:val="both"/>
        <w:rPr>
          <w:rFonts w:asciiTheme="minorHAnsi" w:hAnsiTheme="minorHAnsi" w:cstheme="minorHAnsi"/>
          <w:b/>
          <w:i/>
          <w:sz w:val="22"/>
          <w:szCs w:val="22"/>
        </w:rPr>
      </w:pPr>
    </w:p>
    <w:p w14:paraId="145291FC" w14:textId="7895D171" w:rsidR="00891ED0" w:rsidRDefault="002D794E" w:rsidP="002D794E">
      <w:pPr>
        <w:pStyle w:val="Listaszerbekezds"/>
        <w:numPr>
          <w:ilvl w:val="0"/>
          <w:numId w:val="4"/>
        </w:numPr>
        <w:ind w:left="284" w:hanging="284"/>
        <w:jc w:val="both"/>
        <w:rPr>
          <w:rFonts w:asciiTheme="minorHAnsi" w:hAnsiTheme="minorHAnsi" w:cstheme="minorHAnsi"/>
          <w:b/>
          <w:i/>
          <w:sz w:val="22"/>
          <w:szCs w:val="22"/>
        </w:rPr>
      </w:pPr>
      <w:r w:rsidRPr="002D794E">
        <w:rPr>
          <w:rFonts w:asciiTheme="minorHAnsi" w:hAnsiTheme="minorHAnsi" w:cstheme="minorHAnsi"/>
          <w:bCs/>
          <w:iCs/>
          <w:sz w:val="22"/>
          <w:szCs w:val="22"/>
        </w:rPr>
        <w:t xml:space="preserve">A </w:t>
      </w:r>
      <w:r w:rsidRPr="000F230A">
        <w:rPr>
          <w:rFonts w:asciiTheme="minorHAnsi" w:hAnsiTheme="minorHAnsi" w:cstheme="minorHAnsi"/>
          <w:b/>
          <w:i/>
          <w:sz w:val="22"/>
          <w:szCs w:val="22"/>
        </w:rPr>
        <w:t>190/2024. (IX.26.) Kgy.sz. határozat alapján</w:t>
      </w:r>
      <w:r w:rsidRPr="002D794E">
        <w:rPr>
          <w:rFonts w:asciiTheme="minorHAnsi" w:hAnsiTheme="minorHAnsi" w:cstheme="minorHAnsi"/>
          <w:bCs/>
          <w:iCs/>
          <w:sz w:val="22"/>
          <w:szCs w:val="22"/>
        </w:rPr>
        <w:t xml:space="preserve"> az INTERREG VI-A AT-HU program - Közös drogprevenciós képzési program kialakítása és megvalósítása az osztrák-magyar határtérségben projekt bevételi és kiadási előirányzata</w:t>
      </w:r>
      <w:r>
        <w:rPr>
          <w:rFonts w:asciiTheme="minorHAnsi" w:hAnsiTheme="minorHAnsi" w:cstheme="minorHAnsi"/>
          <w:bCs/>
          <w:iCs/>
          <w:sz w:val="22"/>
          <w:szCs w:val="22"/>
        </w:rPr>
        <w:t xml:space="preserve"> (35.735 eFt)</w:t>
      </w:r>
      <w:r w:rsidRPr="002D794E">
        <w:rPr>
          <w:rFonts w:asciiTheme="minorHAnsi" w:hAnsiTheme="minorHAnsi" w:cstheme="minorHAnsi"/>
          <w:bCs/>
          <w:iCs/>
          <w:sz w:val="22"/>
          <w:szCs w:val="22"/>
        </w:rPr>
        <w:t xml:space="preserve"> a támogatási szerződésben foglaltak szerint a költségvetésbe beemelésre került jelen rendeletmódosításban</w:t>
      </w:r>
      <w:r>
        <w:rPr>
          <w:rFonts w:asciiTheme="minorHAnsi" w:hAnsiTheme="minorHAnsi" w:cstheme="minorHAnsi"/>
          <w:bCs/>
          <w:iCs/>
          <w:sz w:val="22"/>
          <w:szCs w:val="22"/>
        </w:rPr>
        <w:t xml:space="preserve">. </w:t>
      </w:r>
    </w:p>
    <w:p w14:paraId="13410708" w14:textId="7A43459D" w:rsidR="00891ED0" w:rsidRDefault="002D794E" w:rsidP="000F230A">
      <w:pPr>
        <w:ind w:firstLine="284"/>
        <w:jc w:val="both"/>
        <w:rPr>
          <w:rFonts w:asciiTheme="minorHAnsi" w:hAnsiTheme="minorHAnsi" w:cstheme="minorHAnsi"/>
          <w:b/>
          <w:i/>
          <w:sz w:val="22"/>
          <w:szCs w:val="22"/>
        </w:rPr>
      </w:pPr>
      <w:r w:rsidRPr="002D794E">
        <w:rPr>
          <w:rFonts w:asciiTheme="minorHAnsi" w:hAnsiTheme="minorHAnsi" w:cstheme="minorHAnsi"/>
          <w:b/>
          <w:i/>
          <w:sz w:val="22"/>
          <w:szCs w:val="22"/>
        </w:rPr>
        <w:t xml:space="preserve">(egyenleg: </w:t>
      </w:r>
      <w:r>
        <w:rPr>
          <w:rFonts w:asciiTheme="minorHAnsi" w:hAnsiTheme="minorHAnsi" w:cstheme="minorHAnsi"/>
          <w:b/>
          <w:i/>
          <w:sz w:val="22"/>
          <w:szCs w:val="22"/>
        </w:rPr>
        <w:t>0</w:t>
      </w:r>
      <w:r w:rsidRPr="002D794E">
        <w:rPr>
          <w:rFonts w:asciiTheme="minorHAnsi" w:hAnsiTheme="minorHAnsi" w:cstheme="minorHAnsi"/>
          <w:b/>
          <w:i/>
          <w:sz w:val="22"/>
          <w:szCs w:val="22"/>
        </w:rPr>
        <w:t xml:space="preserve"> eFt)</w:t>
      </w:r>
    </w:p>
    <w:p w14:paraId="38ADCC54" w14:textId="77777777" w:rsidR="00D741D1" w:rsidRPr="00454D34" w:rsidRDefault="00D741D1" w:rsidP="00D741D1">
      <w:pPr>
        <w:ind w:left="360"/>
        <w:jc w:val="both"/>
        <w:rPr>
          <w:rFonts w:asciiTheme="minorHAnsi" w:hAnsiTheme="minorHAnsi" w:cstheme="minorHAnsi"/>
          <w:b/>
          <w:i/>
          <w:sz w:val="22"/>
          <w:szCs w:val="22"/>
        </w:rPr>
      </w:pPr>
    </w:p>
    <w:p w14:paraId="7E8481DC" w14:textId="7C82C7DB" w:rsidR="00D741D1" w:rsidRDefault="00D741D1" w:rsidP="00D741D1">
      <w:pPr>
        <w:pStyle w:val="Listaszerbekezds"/>
        <w:numPr>
          <w:ilvl w:val="0"/>
          <w:numId w:val="4"/>
        </w:numPr>
        <w:ind w:left="284" w:hanging="284"/>
        <w:jc w:val="both"/>
        <w:rPr>
          <w:rFonts w:asciiTheme="minorHAnsi" w:hAnsiTheme="minorHAnsi" w:cstheme="minorHAnsi"/>
          <w:b/>
          <w:i/>
          <w:sz w:val="22"/>
          <w:szCs w:val="22"/>
        </w:rPr>
      </w:pPr>
      <w:r w:rsidRPr="002D794E">
        <w:rPr>
          <w:rFonts w:asciiTheme="minorHAnsi" w:hAnsiTheme="minorHAnsi" w:cstheme="minorHAnsi"/>
          <w:bCs/>
          <w:iCs/>
          <w:sz w:val="22"/>
          <w:szCs w:val="22"/>
        </w:rPr>
        <w:t xml:space="preserve">A </w:t>
      </w:r>
      <w:r w:rsidRPr="00D741D1">
        <w:rPr>
          <w:rFonts w:asciiTheme="minorHAnsi" w:hAnsiTheme="minorHAnsi" w:cstheme="minorHAnsi"/>
          <w:b/>
          <w:i/>
          <w:sz w:val="22"/>
          <w:szCs w:val="22"/>
        </w:rPr>
        <w:t>172/2025. (V.29.) Kgy.sz. határozat alapján</w:t>
      </w:r>
      <w:r w:rsidRPr="002D794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a Margaréta Óvodában végrehajtott 1 fő óvodapedagógus határozatlan idejű státuszának elfogadása mellett a 2025. évre szükséges bér- és járulékköltség fedezete is biztosításra került 3.690 eFt összegben.  </w:t>
      </w:r>
    </w:p>
    <w:p w14:paraId="3C76E2D6" w14:textId="00C64CE0" w:rsidR="00D741D1" w:rsidRDefault="00D741D1" w:rsidP="00D741D1">
      <w:pPr>
        <w:ind w:firstLine="284"/>
        <w:jc w:val="both"/>
        <w:rPr>
          <w:rFonts w:asciiTheme="minorHAnsi" w:hAnsiTheme="minorHAnsi" w:cstheme="minorHAnsi"/>
          <w:b/>
          <w:i/>
          <w:sz w:val="22"/>
          <w:szCs w:val="22"/>
        </w:rPr>
      </w:pPr>
      <w:r w:rsidRPr="002D794E">
        <w:rPr>
          <w:rFonts w:asciiTheme="minorHAnsi" w:hAnsiTheme="minorHAnsi" w:cstheme="minorHAnsi"/>
          <w:b/>
          <w:i/>
          <w:sz w:val="22"/>
          <w:szCs w:val="22"/>
        </w:rPr>
        <w:t xml:space="preserve">(egyenleg: </w:t>
      </w:r>
      <w:r>
        <w:rPr>
          <w:rFonts w:asciiTheme="minorHAnsi" w:hAnsiTheme="minorHAnsi" w:cstheme="minorHAnsi"/>
          <w:b/>
          <w:i/>
          <w:sz w:val="22"/>
          <w:szCs w:val="22"/>
        </w:rPr>
        <w:t>-3.690</w:t>
      </w:r>
      <w:r w:rsidRPr="002D794E">
        <w:rPr>
          <w:rFonts w:asciiTheme="minorHAnsi" w:hAnsiTheme="minorHAnsi" w:cstheme="minorHAnsi"/>
          <w:b/>
          <w:i/>
          <w:sz w:val="22"/>
          <w:szCs w:val="22"/>
        </w:rPr>
        <w:t xml:space="preserve"> eFt)</w:t>
      </w:r>
    </w:p>
    <w:p w14:paraId="7D2DF2C8" w14:textId="77777777" w:rsidR="007D29BE" w:rsidRDefault="007D29BE" w:rsidP="00D741D1">
      <w:pPr>
        <w:ind w:firstLine="284"/>
        <w:jc w:val="both"/>
        <w:rPr>
          <w:rFonts w:asciiTheme="minorHAnsi" w:hAnsiTheme="minorHAnsi" w:cstheme="minorHAnsi"/>
          <w:b/>
          <w:i/>
          <w:sz w:val="22"/>
          <w:szCs w:val="22"/>
        </w:rPr>
      </w:pPr>
    </w:p>
    <w:p w14:paraId="1B573AB1" w14:textId="5C819542" w:rsidR="007D29BE" w:rsidRPr="007D29BE" w:rsidRDefault="007552BD" w:rsidP="008C4153">
      <w:pPr>
        <w:pStyle w:val="Listaszerbekezds"/>
        <w:numPr>
          <w:ilvl w:val="0"/>
          <w:numId w:val="4"/>
        </w:numPr>
        <w:ind w:left="142" w:hanging="142"/>
        <w:jc w:val="both"/>
        <w:rPr>
          <w:rFonts w:asciiTheme="minorHAnsi" w:hAnsiTheme="minorHAnsi" w:cstheme="minorHAnsi"/>
          <w:bCs/>
          <w:iCs/>
          <w:sz w:val="22"/>
          <w:szCs w:val="22"/>
        </w:rPr>
      </w:pPr>
      <w:r>
        <w:rPr>
          <w:rFonts w:asciiTheme="minorHAnsi" w:hAnsiTheme="minorHAnsi" w:cstheme="minorHAnsi"/>
          <w:b/>
          <w:i/>
          <w:sz w:val="22"/>
          <w:szCs w:val="22"/>
        </w:rPr>
        <w:t xml:space="preserve"> </w:t>
      </w:r>
      <w:r w:rsidR="007D29BE">
        <w:rPr>
          <w:rFonts w:asciiTheme="minorHAnsi" w:hAnsiTheme="minorHAnsi" w:cstheme="minorHAnsi"/>
          <w:b/>
          <w:i/>
          <w:sz w:val="22"/>
          <w:szCs w:val="22"/>
        </w:rPr>
        <w:t xml:space="preserve">A </w:t>
      </w:r>
      <w:r w:rsidR="007D29BE" w:rsidRPr="007D29BE">
        <w:rPr>
          <w:rFonts w:asciiTheme="minorHAnsi" w:hAnsiTheme="minorHAnsi" w:cstheme="minorHAnsi"/>
          <w:b/>
          <w:i/>
          <w:sz w:val="22"/>
          <w:szCs w:val="22"/>
        </w:rPr>
        <w:t xml:space="preserve">104/2024. (IV.25.) Kgy.sz. határozat, a 187/2024. (IX.26.) Kgy.sz. határozat, a 328-333/2024. (XI.28) Kgy.sz. határozatok </w:t>
      </w:r>
      <w:r w:rsidR="007D29BE" w:rsidRPr="007D29BE">
        <w:rPr>
          <w:rFonts w:asciiTheme="minorHAnsi" w:hAnsiTheme="minorHAnsi" w:cstheme="minorHAnsi"/>
          <w:bCs/>
          <w:iCs/>
          <w:sz w:val="22"/>
          <w:szCs w:val="22"/>
        </w:rPr>
        <w:t>alapján</w:t>
      </w:r>
      <w:r w:rsidR="007D29BE">
        <w:rPr>
          <w:rFonts w:asciiTheme="minorHAnsi" w:hAnsiTheme="minorHAnsi" w:cstheme="minorHAnsi"/>
          <w:bCs/>
          <w:iCs/>
          <w:sz w:val="22"/>
          <w:szCs w:val="22"/>
        </w:rPr>
        <w:t>, a támogatási szerződésekben foglaltak szerint</w:t>
      </w:r>
      <w:r w:rsidR="007D29BE" w:rsidRPr="007D29BE">
        <w:rPr>
          <w:rFonts w:asciiTheme="minorHAnsi" w:hAnsiTheme="minorHAnsi" w:cstheme="minorHAnsi"/>
          <w:bCs/>
          <w:iCs/>
          <w:sz w:val="22"/>
          <w:szCs w:val="22"/>
        </w:rPr>
        <w:t xml:space="preserve"> az alábbi TOP PLUSZ projektek bevételi és kiadási előirányzatai kerültek beemelésre jelen rendelet módosításban. </w:t>
      </w:r>
    </w:p>
    <w:p w14:paraId="5665854A" w14:textId="4AD96716" w:rsidR="007D29BE" w:rsidRDefault="007D29BE" w:rsidP="00D741D1">
      <w:pPr>
        <w:ind w:firstLine="284"/>
        <w:jc w:val="both"/>
        <w:rPr>
          <w:rFonts w:asciiTheme="minorHAnsi" w:hAnsiTheme="minorHAnsi" w:cstheme="minorHAnsi"/>
          <w:b/>
          <w:i/>
          <w:sz w:val="22"/>
          <w:szCs w:val="22"/>
        </w:rPr>
      </w:pP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r w:rsidRPr="007D29BE">
        <w:rPr>
          <w:rFonts w:asciiTheme="minorHAnsi" w:hAnsiTheme="minorHAnsi" w:cstheme="minorHAnsi"/>
          <w:bCs/>
          <w:iCs/>
          <w:sz w:val="22"/>
          <w:szCs w:val="22"/>
        </w:rPr>
        <w:tab/>
      </w:r>
    </w:p>
    <w:tbl>
      <w:tblPr>
        <w:tblStyle w:val="Rcsostblzat"/>
        <w:tblW w:w="0" w:type="auto"/>
        <w:tblLook w:val="04A0" w:firstRow="1" w:lastRow="0" w:firstColumn="1" w:lastColumn="0" w:noHBand="0" w:noVBand="1"/>
      </w:tblPr>
      <w:tblGrid>
        <w:gridCol w:w="4531"/>
        <w:gridCol w:w="4531"/>
      </w:tblGrid>
      <w:tr w:rsidR="007D29BE" w14:paraId="227CD95D" w14:textId="77777777" w:rsidTr="007D29BE">
        <w:tc>
          <w:tcPr>
            <w:tcW w:w="4531" w:type="dxa"/>
          </w:tcPr>
          <w:p w14:paraId="37095FD5" w14:textId="2E30E48C" w:rsidR="007D29BE" w:rsidRPr="007D29BE" w:rsidRDefault="007D29BE" w:rsidP="007D29BE">
            <w:pPr>
              <w:jc w:val="center"/>
              <w:rPr>
                <w:rFonts w:asciiTheme="minorHAnsi" w:hAnsiTheme="minorHAnsi" w:cstheme="minorHAnsi"/>
                <w:bCs/>
                <w:iCs/>
                <w:sz w:val="22"/>
                <w:szCs w:val="22"/>
              </w:rPr>
            </w:pPr>
            <w:r w:rsidRPr="007D29BE">
              <w:rPr>
                <w:rFonts w:asciiTheme="minorHAnsi" w:hAnsiTheme="minorHAnsi" w:cstheme="minorHAnsi"/>
                <w:bCs/>
                <w:iCs/>
                <w:sz w:val="22"/>
                <w:szCs w:val="22"/>
              </w:rPr>
              <w:t>Projekt megnevezése</w:t>
            </w:r>
          </w:p>
        </w:tc>
        <w:tc>
          <w:tcPr>
            <w:tcW w:w="4531" w:type="dxa"/>
          </w:tcPr>
          <w:p w14:paraId="7DAE4AE9" w14:textId="08149116" w:rsidR="007D29BE" w:rsidRPr="007D29BE" w:rsidRDefault="007D29BE" w:rsidP="007D29BE">
            <w:pPr>
              <w:jc w:val="center"/>
              <w:rPr>
                <w:rFonts w:asciiTheme="minorHAnsi" w:hAnsiTheme="minorHAnsi" w:cstheme="minorHAnsi"/>
                <w:bCs/>
                <w:iCs/>
                <w:sz w:val="22"/>
                <w:szCs w:val="22"/>
              </w:rPr>
            </w:pPr>
            <w:r w:rsidRPr="007D29BE">
              <w:rPr>
                <w:rFonts w:asciiTheme="minorHAnsi" w:hAnsiTheme="minorHAnsi" w:cstheme="minorHAnsi"/>
                <w:bCs/>
                <w:iCs/>
                <w:sz w:val="22"/>
                <w:szCs w:val="22"/>
              </w:rPr>
              <w:t>Összeg (e Ft)</w:t>
            </w:r>
          </w:p>
        </w:tc>
      </w:tr>
      <w:tr w:rsidR="007D29BE" w:rsidRPr="007D29BE" w14:paraId="08D6E97C" w14:textId="77777777" w:rsidTr="007D29BE">
        <w:tc>
          <w:tcPr>
            <w:tcW w:w="4531" w:type="dxa"/>
          </w:tcPr>
          <w:p w14:paraId="2AAB7D0F" w14:textId="298040AE" w:rsidR="007D29BE" w:rsidRPr="007D29BE" w:rsidRDefault="0037763F" w:rsidP="007D29BE">
            <w:pPr>
              <w:rPr>
                <w:rFonts w:asciiTheme="minorHAnsi" w:hAnsiTheme="minorHAnsi" w:cstheme="minorHAnsi"/>
                <w:bCs/>
                <w:iCs/>
                <w:sz w:val="22"/>
                <w:szCs w:val="22"/>
              </w:rPr>
            </w:pPr>
            <w:r w:rsidRPr="0037763F">
              <w:rPr>
                <w:rFonts w:asciiTheme="minorHAnsi" w:hAnsiTheme="minorHAnsi" w:cstheme="minorHAnsi"/>
                <w:bCs/>
                <w:iCs/>
                <w:sz w:val="22"/>
                <w:szCs w:val="22"/>
              </w:rPr>
              <w:t>TOP – PLUSZ -3.4.1-23-SH1-2024-00001 – Szociális alapszolgáltatások fejlesztése</w:t>
            </w:r>
          </w:p>
        </w:tc>
        <w:tc>
          <w:tcPr>
            <w:tcW w:w="4531" w:type="dxa"/>
          </w:tcPr>
          <w:p w14:paraId="684AFE31" w14:textId="77777777" w:rsidR="007D29BE" w:rsidRDefault="007D29BE" w:rsidP="00110AA0">
            <w:pPr>
              <w:jc w:val="right"/>
              <w:rPr>
                <w:rFonts w:asciiTheme="minorHAnsi" w:hAnsiTheme="minorHAnsi" w:cstheme="minorHAnsi"/>
                <w:bCs/>
                <w:iCs/>
                <w:sz w:val="22"/>
                <w:szCs w:val="22"/>
              </w:rPr>
            </w:pPr>
          </w:p>
          <w:p w14:paraId="0FE96BBD" w14:textId="21F834A6" w:rsidR="00110AA0" w:rsidRPr="007D29BE" w:rsidRDefault="00110AA0" w:rsidP="00110AA0">
            <w:pPr>
              <w:jc w:val="right"/>
              <w:rPr>
                <w:rFonts w:asciiTheme="minorHAnsi" w:hAnsiTheme="minorHAnsi" w:cstheme="minorHAnsi"/>
                <w:bCs/>
                <w:iCs/>
                <w:sz w:val="22"/>
                <w:szCs w:val="22"/>
              </w:rPr>
            </w:pPr>
            <w:r>
              <w:rPr>
                <w:rFonts w:asciiTheme="minorHAnsi" w:hAnsiTheme="minorHAnsi" w:cstheme="minorHAnsi"/>
                <w:bCs/>
                <w:iCs/>
                <w:sz w:val="22"/>
                <w:szCs w:val="22"/>
              </w:rPr>
              <w:t>647.071</w:t>
            </w:r>
          </w:p>
        </w:tc>
      </w:tr>
      <w:tr w:rsidR="007D29BE" w:rsidRPr="007D29BE" w14:paraId="2486390C" w14:textId="77777777" w:rsidTr="007D29BE">
        <w:tc>
          <w:tcPr>
            <w:tcW w:w="4531" w:type="dxa"/>
          </w:tcPr>
          <w:p w14:paraId="37C7F9E3" w14:textId="66BC8748" w:rsidR="007D29BE" w:rsidRPr="007D29BE" w:rsidRDefault="0037763F" w:rsidP="00D741D1">
            <w:pPr>
              <w:jc w:val="both"/>
              <w:rPr>
                <w:rFonts w:asciiTheme="minorHAnsi" w:hAnsiTheme="minorHAnsi" w:cstheme="minorHAnsi"/>
                <w:bCs/>
                <w:iCs/>
                <w:sz w:val="22"/>
                <w:szCs w:val="22"/>
              </w:rPr>
            </w:pPr>
            <w:r w:rsidRPr="0037763F">
              <w:rPr>
                <w:rFonts w:asciiTheme="minorHAnsi" w:hAnsiTheme="minorHAnsi" w:cstheme="minorHAnsi"/>
                <w:bCs/>
                <w:iCs/>
                <w:sz w:val="22"/>
                <w:szCs w:val="22"/>
              </w:rPr>
              <w:t>TOP – PLUSZ -6.2.1-23-SH1-2024-00001 – Sárdi-éri iparterület fejlesztése, kivezető út építése</w:t>
            </w:r>
          </w:p>
        </w:tc>
        <w:tc>
          <w:tcPr>
            <w:tcW w:w="4531" w:type="dxa"/>
          </w:tcPr>
          <w:p w14:paraId="41C866C0" w14:textId="77777777" w:rsidR="007D29BE" w:rsidRDefault="007D29BE" w:rsidP="00110AA0">
            <w:pPr>
              <w:jc w:val="right"/>
              <w:rPr>
                <w:rFonts w:asciiTheme="minorHAnsi" w:hAnsiTheme="minorHAnsi" w:cstheme="minorHAnsi"/>
                <w:bCs/>
                <w:iCs/>
                <w:sz w:val="22"/>
                <w:szCs w:val="22"/>
              </w:rPr>
            </w:pPr>
          </w:p>
          <w:p w14:paraId="0DCA4A04" w14:textId="72F8F96D" w:rsidR="00110AA0" w:rsidRPr="007D29BE" w:rsidRDefault="00110AA0" w:rsidP="00110AA0">
            <w:pPr>
              <w:jc w:val="right"/>
              <w:rPr>
                <w:rFonts w:asciiTheme="minorHAnsi" w:hAnsiTheme="minorHAnsi" w:cstheme="minorHAnsi"/>
                <w:bCs/>
                <w:iCs/>
                <w:sz w:val="22"/>
                <w:szCs w:val="22"/>
              </w:rPr>
            </w:pPr>
            <w:r>
              <w:rPr>
                <w:rFonts w:asciiTheme="minorHAnsi" w:hAnsiTheme="minorHAnsi" w:cstheme="minorHAnsi"/>
                <w:bCs/>
                <w:iCs/>
                <w:sz w:val="22"/>
                <w:szCs w:val="22"/>
              </w:rPr>
              <w:t>194.065</w:t>
            </w:r>
          </w:p>
        </w:tc>
      </w:tr>
      <w:tr w:rsidR="007D29BE" w:rsidRPr="007D29BE" w14:paraId="74DE619F" w14:textId="77777777" w:rsidTr="007D29BE">
        <w:tc>
          <w:tcPr>
            <w:tcW w:w="4531" w:type="dxa"/>
          </w:tcPr>
          <w:p w14:paraId="4C4740AC" w14:textId="195FCEC6" w:rsidR="007D29BE" w:rsidRPr="007D29BE" w:rsidRDefault="0037763F" w:rsidP="00D741D1">
            <w:pPr>
              <w:jc w:val="both"/>
              <w:rPr>
                <w:rFonts w:asciiTheme="minorHAnsi" w:hAnsiTheme="minorHAnsi" w:cstheme="minorHAnsi"/>
                <w:bCs/>
                <w:iCs/>
                <w:sz w:val="22"/>
                <w:szCs w:val="22"/>
              </w:rPr>
            </w:pPr>
            <w:r w:rsidRPr="0037763F">
              <w:rPr>
                <w:rFonts w:asciiTheme="minorHAnsi" w:hAnsiTheme="minorHAnsi" w:cstheme="minorHAnsi"/>
                <w:bCs/>
                <w:iCs/>
                <w:sz w:val="22"/>
                <w:szCs w:val="22"/>
              </w:rPr>
              <w:t>TOP – PLUSZ -3.4.1-23-SH1-2024-00002 – Egészségügyi alapellátás fejlesztése</w:t>
            </w:r>
          </w:p>
        </w:tc>
        <w:tc>
          <w:tcPr>
            <w:tcW w:w="4531" w:type="dxa"/>
          </w:tcPr>
          <w:p w14:paraId="2B5A70E0" w14:textId="77777777" w:rsidR="007D29BE" w:rsidRDefault="007D29BE" w:rsidP="00110AA0">
            <w:pPr>
              <w:jc w:val="right"/>
              <w:rPr>
                <w:rFonts w:asciiTheme="minorHAnsi" w:hAnsiTheme="minorHAnsi" w:cstheme="minorHAnsi"/>
                <w:bCs/>
                <w:iCs/>
                <w:sz w:val="22"/>
                <w:szCs w:val="22"/>
              </w:rPr>
            </w:pPr>
          </w:p>
          <w:p w14:paraId="6488F2FB" w14:textId="2F031BDA" w:rsidR="00110AA0" w:rsidRPr="007D29BE" w:rsidRDefault="00110AA0" w:rsidP="00110AA0">
            <w:pPr>
              <w:jc w:val="right"/>
              <w:rPr>
                <w:rFonts w:asciiTheme="minorHAnsi" w:hAnsiTheme="minorHAnsi" w:cstheme="minorHAnsi"/>
                <w:bCs/>
                <w:iCs/>
                <w:sz w:val="22"/>
                <w:szCs w:val="22"/>
              </w:rPr>
            </w:pPr>
            <w:r>
              <w:rPr>
                <w:rFonts w:asciiTheme="minorHAnsi" w:hAnsiTheme="minorHAnsi" w:cstheme="minorHAnsi"/>
                <w:bCs/>
                <w:iCs/>
                <w:sz w:val="22"/>
                <w:szCs w:val="22"/>
              </w:rPr>
              <w:t>544.045</w:t>
            </w:r>
          </w:p>
        </w:tc>
      </w:tr>
      <w:tr w:rsidR="007D29BE" w:rsidRPr="007D29BE" w14:paraId="34AC1215" w14:textId="77777777" w:rsidTr="007D29BE">
        <w:tc>
          <w:tcPr>
            <w:tcW w:w="4531" w:type="dxa"/>
          </w:tcPr>
          <w:p w14:paraId="1253F3D2" w14:textId="2BD8CE23" w:rsidR="007D29BE" w:rsidRPr="007D29BE" w:rsidRDefault="00B3547E" w:rsidP="00D741D1">
            <w:pPr>
              <w:jc w:val="both"/>
              <w:rPr>
                <w:rFonts w:asciiTheme="minorHAnsi" w:hAnsiTheme="minorHAnsi" w:cstheme="minorHAnsi"/>
                <w:bCs/>
                <w:iCs/>
                <w:sz w:val="22"/>
                <w:szCs w:val="22"/>
              </w:rPr>
            </w:pPr>
            <w:r w:rsidRPr="00B3547E">
              <w:rPr>
                <w:rFonts w:asciiTheme="minorHAnsi" w:hAnsiTheme="minorHAnsi" w:cstheme="minorHAnsi"/>
                <w:bCs/>
                <w:iCs/>
                <w:sz w:val="22"/>
                <w:szCs w:val="22"/>
              </w:rPr>
              <w:t>TOP – PLUSZ -3.4.1-23-SH1-2024-00006 – Gyermekjóléti és szociális alapszolgáltatások fejlesztése</w:t>
            </w:r>
          </w:p>
        </w:tc>
        <w:tc>
          <w:tcPr>
            <w:tcW w:w="4531" w:type="dxa"/>
          </w:tcPr>
          <w:p w14:paraId="10E3866D" w14:textId="77777777" w:rsidR="007D29BE" w:rsidRDefault="007D29BE" w:rsidP="00110AA0">
            <w:pPr>
              <w:jc w:val="right"/>
              <w:rPr>
                <w:rFonts w:asciiTheme="minorHAnsi" w:hAnsiTheme="minorHAnsi" w:cstheme="minorHAnsi"/>
                <w:bCs/>
                <w:iCs/>
                <w:sz w:val="22"/>
                <w:szCs w:val="22"/>
              </w:rPr>
            </w:pPr>
          </w:p>
          <w:p w14:paraId="7AEE80C9" w14:textId="77777777" w:rsidR="00110AA0" w:rsidRDefault="00110AA0" w:rsidP="00110AA0">
            <w:pPr>
              <w:jc w:val="right"/>
              <w:rPr>
                <w:rFonts w:asciiTheme="minorHAnsi" w:hAnsiTheme="minorHAnsi" w:cstheme="minorHAnsi"/>
                <w:bCs/>
                <w:iCs/>
                <w:sz w:val="22"/>
                <w:szCs w:val="22"/>
              </w:rPr>
            </w:pPr>
          </w:p>
          <w:p w14:paraId="39BD77DC" w14:textId="250B4C1D" w:rsidR="00110AA0" w:rsidRPr="007D29BE" w:rsidRDefault="00110AA0" w:rsidP="00110AA0">
            <w:pPr>
              <w:jc w:val="right"/>
              <w:rPr>
                <w:rFonts w:asciiTheme="minorHAnsi" w:hAnsiTheme="minorHAnsi" w:cstheme="minorHAnsi"/>
                <w:bCs/>
                <w:iCs/>
                <w:sz w:val="22"/>
                <w:szCs w:val="22"/>
              </w:rPr>
            </w:pPr>
            <w:r>
              <w:rPr>
                <w:rFonts w:asciiTheme="minorHAnsi" w:hAnsiTheme="minorHAnsi" w:cstheme="minorHAnsi"/>
                <w:bCs/>
                <w:iCs/>
                <w:sz w:val="22"/>
                <w:szCs w:val="22"/>
              </w:rPr>
              <w:t>194.800</w:t>
            </w:r>
          </w:p>
        </w:tc>
      </w:tr>
      <w:tr w:rsidR="007D29BE" w:rsidRPr="007D29BE" w14:paraId="5A6511CE" w14:textId="77777777" w:rsidTr="007D29BE">
        <w:tc>
          <w:tcPr>
            <w:tcW w:w="4531" w:type="dxa"/>
          </w:tcPr>
          <w:p w14:paraId="483E7D54" w14:textId="72CC472E" w:rsidR="007D29BE" w:rsidRPr="007D29BE" w:rsidRDefault="00B3547E" w:rsidP="00D741D1">
            <w:pPr>
              <w:jc w:val="both"/>
              <w:rPr>
                <w:rFonts w:asciiTheme="minorHAnsi" w:hAnsiTheme="minorHAnsi" w:cstheme="minorHAnsi"/>
                <w:bCs/>
                <w:iCs/>
                <w:sz w:val="22"/>
                <w:szCs w:val="22"/>
              </w:rPr>
            </w:pPr>
            <w:r w:rsidRPr="00B3547E">
              <w:rPr>
                <w:rFonts w:asciiTheme="minorHAnsi" w:hAnsiTheme="minorHAnsi" w:cstheme="minorHAnsi"/>
                <w:bCs/>
                <w:iCs/>
                <w:sz w:val="22"/>
                <w:szCs w:val="22"/>
              </w:rPr>
              <w:t>TOP – PLUSZ -3.4.1-23-SH1-2024-00005 – Óvoda fejlesztések Szombathelyen</w:t>
            </w:r>
          </w:p>
        </w:tc>
        <w:tc>
          <w:tcPr>
            <w:tcW w:w="4531" w:type="dxa"/>
          </w:tcPr>
          <w:p w14:paraId="1C3D2785" w14:textId="77777777" w:rsidR="007D29BE" w:rsidRDefault="007D29BE" w:rsidP="00110AA0">
            <w:pPr>
              <w:jc w:val="right"/>
              <w:rPr>
                <w:rFonts w:asciiTheme="minorHAnsi" w:hAnsiTheme="minorHAnsi" w:cstheme="minorHAnsi"/>
                <w:bCs/>
                <w:iCs/>
                <w:sz w:val="22"/>
                <w:szCs w:val="22"/>
              </w:rPr>
            </w:pPr>
          </w:p>
          <w:p w14:paraId="205AE738" w14:textId="58177C16" w:rsidR="00110AA0" w:rsidRPr="007D29BE" w:rsidRDefault="00110AA0" w:rsidP="00110AA0">
            <w:pPr>
              <w:jc w:val="right"/>
              <w:rPr>
                <w:rFonts w:asciiTheme="minorHAnsi" w:hAnsiTheme="minorHAnsi" w:cstheme="minorHAnsi"/>
                <w:bCs/>
                <w:iCs/>
                <w:sz w:val="22"/>
                <w:szCs w:val="22"/>
              </w:rPr>
            </w:pPr>
            <w:r>
              <w:rPr>
                <w:rFonts w:asciiTheme="minorHAnsi" w:hAnsiTheme="minorHAnsi" w:cstheme="minorHAnsi"/>
                <w:bCs/>
                <w:iCs/>
                <w:sz w:val="22"/>
                <w:szCs w:val="22"/>
              </w:rPr>
              <w:t>358.920</w:t>
            </w:r>
          </w:p>
        </w:tc>
      </w:tr>
      <w:tr w:rsidR="00EA64FE" w:rsidRPr="007D29BE" w14:paraId="7042E3EB" w14:textId="77777777" w:rsidTr="007D29BE">
        <w:tc>
          <w:tcPr>
            <w:tcW w:w="4531" w:type="dxa"/>
          </w:tcPr>
          <w:p w14:paraId="69567C5A" w14:textId="6C90C8AD" w:rsidR="00EA64FE" w:rsidRPr="00B3547E" w:rsidRDefault="00225E49" w:rsidP="00D741D1">
            <w:pPr>
              <w:jc w:val="both"/>
              <w:rPr>
                <w:rFonts w:asciiTheme="minorHAnsi" w:hAnsiTheme="minorHAnsi" w:cstheme="minorHAnsi"/>
                <w:bCs/>
                <w:iCs/>
                <w:sz w:val="22"/>
                <w:szCs w:val="22"/>
              </w:rPr>
            </w:pPr>
            <w:r w:rsidRPr="00225E49">
              <w:rPr>
                <w:rFonts w:asciiTheme="minorHAnsi" w:hAnsiTheme="minorHAnsi" w:cstheme="minorHAnsi"/>
                <w:bCs/>
                <w:iCs/>
                <w:sz w:val="22"/>
                <w:szCs w:val="22"/>
              </w:rPr>
              <w:t>TOP – PLUSZ -3.4.1-23-SH1-2024-00004 – Szociális alapszolgáltatások minőségi fejlesztése</w:t>
            </w:r>
          </w:p>
        </w:tc>
        <w:tc>
          <w:tcPr>
            <w:tcW w:w="4531" w:type="dxa"/>
          </w:tcPr>
          <w:p w14:paraId="5A1A2ED6" w14:textId="77777777" w:rsidR="00EA64FE" w:rsidRDefault="00EA64FE" w:rsidP="00110AA0">
            <w:pPr>
              <w:jc w:val="right"/>
              <w:rPr>
                <w:rFonts w:asciiTheme="minorHAnsi" w:hAnsiTheme="minorHAnsi" w:cstheme="minorHAnsi"/>
                <w:bCs/>
                <w:iCs/>
                <w:sz w:val="22"/>
                <w:szCs w:val="22"/>
              </w:rPr>
            </w:pPr>
          </w:p>
          <w:p w14:paraId="35ED6B87" w14:textId="1C999969" w:rsidR="00110AA0"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109.473</w:t>
            </w:r>
          </w:p>
        </w:tc>
      </w:tr>
      <w:tr w:rsidR="00EA64FE" w:rsidRPr="007D29BE" w14:paraId="62445A5C" w14:textId="77777777" w:rsidTr="007D29BE">
        <w:tc>
          <w:tcPr>
            <w:tcW w:w="4531" w:type="dxa"/>
          </w:tcPr>
          <w:p w14:paraId="32CEB3B2" w14:textId="28879B5C" w:rsidR="00EA64FE" w:rsidRPr="00B3547E" w:rsidRDefault="00225E49" w:rsidP="00D741D1">
            <w:pPr>
              <w:jc w:val="both"/>
              <w:rPr>
                <w:rFonts w:asciiTheme="minorHAnsi" w:hAnsiTheme="minorHAnsi" w:cstheme="minorHAnsi"/>
                <w:bCs/>
                <w:iCs/>
                <w:sz w:val="22"/>
                <w:szCs w:val="22"/>
              </w:rPr>
            </w:pPr>
            <w:r w:rsidRPr="00225E49">
              <w:rPr>
                <w:rFonts w:asciiTheme="minorHAnsi" w:hAnsiTheme="minorHAnsi" w:cstheme="minorHAnsi"/>
                <w:bCs/>
                <w:iCs/>
                <w:sz w:val="22"/>
                <w:szCs w:val="22"/>
              </w:rPr>
              <w:t>TOP – PLUSZ -1.3.2-23-SH1-2025-00013 – Közúti infrastruktúra fejlesztése</w:t>
            </w:r>
          </w:p>
        </w:tc>
        <w:tc>
          <w:tcPr>
            <w:tcW w:w="4531" w:type="dxa"/>
          </w:tcPr>
          <w:p w14:paraId="31277AEA" w14:textId="77777777" w:rsidR="00EA64FE" w:rsidRDefault="00EA64FE" w:rsidP="00110AA0">
            <w:pPr>
              <w:jc w:val="right"/>
              <w:rPr>
                <w:rFonts w:asciiTheme="minorHAnsi" w:hAnsiTheme="minorHAnsi" w:cstheme="minorHAnsi"/>
                <w:bCs/>
                <w:iCs/>
                <w:sz w:val="22"/>
                <w:szCs w:val="22"/>
              </w:rPr>
            </w:pPr>
          </w:p>
          <w:p w14:paraId="3ED09080" w14:textId="462D1B33"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460.184</w:t>
            </w:r>
          </w:p>
        </w:tc>
      </w:tr>
      <w:tr w:rsidR="00EA64FE" w:rsidRPr="007D29BE" w14:paraId="6732E099" w14:textId="77777777" w:rsidTr="007D29BE">
        <w:tc>
          <w:tcPr>
            <w:tcW w:w="4531" w:type="dxa"/>
          </w:tcPr>
          <w:p w14:paraId="7EE1D49D" w14:textId="6B6CA38A" w:rsidR="00EA64FE" w:rsidRPr="00B3547E" w:rsidRDefault="005E334F" w:rsidP="00D741D1">
            <w:pPr>
              <w:jc w:val="both"/>
              <w:rPr>
                <w:rFonts w:asciiTheme="minorHAnsi" w:hAnsiTheme="minorHAnsi" w:cstheme="minorHAnsi"/>
                <w:bCs/>
                <w:iCs/>
                <w:sz w:val="22"/>
                <w:szCs w:val="22"/>
              </w:rPr>
            </w:pPr>
            <w:r w:rsidRPr="005E334F">
              <w:rPr>
                <w:rFonts w:asciiTheme="minorHAnsi" w:hAnsiTheme="minorHAnsi" w:cstheme="minorHAnsi"/>
                <w:bCs/>
                <w:iCs/>
                <w:sz w:val="22"/>
                <w:szCs w:val="22"/>
              </w:rPr>
              <w:t>TOP – PLUSZ -1.3.2-23-SH1-2025-00010 – Belterületi utak korszerűsítése</w:t>
            </w:r>
          </w:p>
        </w:tc>
        <w:tc>
          <w:tcPr>
            <w:tcW w:w="4531" w:type="dxa"/>
          </w:tcPr>
          <w:p w14:paraId="0685ED3D" w14:textId="77777777" w:rsidR="00EA64FE" w:rsidRDefault="00EA64FE" w:rsidP="00110AA0">
            <w:pPr>
              <w:jc w:val="right"/>
              <w:rPr>
                <w:rFonts w:asciiTheme="minorHAnsi" w:hAnsiTheme="minorHAnsi" w:cstheme="minorHAnsi"/>
                <w:bCs/>
                <w:iCs/>
                <w:sz w:val="22"/>
                <w:szCs w:val="22"/>
              </w:rPr>
            </w:pPr>
          </w:p>
          <w:p w14:paraId="38A6846B" w14:textId="63738FF3"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474.062</w:t>
            </w:r>
          </w:p>
        </w:tc>
      </w:tr>
      <w:tr w:rsidR="00EA64FE" w:rsidRPr="007D29BE" w14:paraId="7F331C8F" w14:textId="77777777" w:rsidTr="007D29BE">
        <w:tc>
          <w:tcPr>
            <w:tcW w:w="4531" w:type="dxa"/>
          </w:tcPr>
          <w:p w14:paraId="616ACEFA" w14:textId="55A2C4AE" w:rsidR="00EA64FE" w:rsidRPr="00B3547E" w:rsidRDefault="005E334F" w:rsidP="00D741D1">
            <w:pPr>
              <w:jc w:val="both"/>
              <w:rPr>
                <w:rFonts w:asciiTheme="minorHAnsi" w:hAnsiTheme="minorHAnsi" w:cstheme="minorHAnsi"/>
                <w:bCs/>
                <w:iCs/>
                <w:sz w:val="22"/>
                <w:szCs w:val="22"/>
              </w:rPr>
            </w:pPr>
            <w:r w:rsidRPr="005E334F">
              <w:rPr>
                <w:rFonts w:asciiTheme="minorHAnsi" w:hAnsiTheme="minorHAnsi" w:cstheme="minorHAnsi"/>
                <w:bCs/>
                <w:iCs/>
                <w:sz w:val="22"/>
                <w:szCs w:val="22"/>
              </w:rPr>
              <w:t>TOP – PLUSZ -1.3.2-23-SH1-2025-00002 – Kerékpárosbarát fejlesztések a déli városrészen</w:t>
            </w:r>
          </w:p>
        </w:tc>
        <w:tc>
          <w:tcPr>
            <w:tcW w:w="4531" w:type="dxa"/>
          </w:tcPr>
          <w:p w14:paraId="6462DFCD" w14:textId="77777777" w:rsidR="00EA64FE" w:rsidRDefault="00EA64FE" w:rsidP="00110AA0">
            <w:pPr>
              <w:jc w:val="right"/>
              <w:rPr>
                <w:rFonts w:asciiTheme="minorHAnsi" w:hAnsiTheme="minorHAnsi" w:cstheme="minorHAnsi"/>
                <w:bCs/>
                <w:iCs/>
                <w:sz w:val="22"/>
                <w:szCs w:val="22"/>
              </w:rPr>
            </w:pPr>
          </w:p>
          <w:p w14:paraId="599333B2" w14:textId="24486DE5"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449.186</w:t>
            </w:r>
          </w:p>
        </w:tc>
      </w:tr>
      <w:tr w:rsidR="00EA64FE" w:rsidRPr="007D29BE" w14:paraId="233F0405" w14:textId="77777777" w:rsidTr="007D29BE">
        <w:tc>
          <w:tcPr>
            <w:tcW w:w="4531" w:type="dxa"/>
          </w:tcPr>
          <w:p w14:paraId="202343E1" w14:textId="7B85CDF8" w:rsidR="00EA64FE" w:rsidRPr="00B3547E" w:rsidRDefault="005E334F" w:rsidP="00D741D1">
            <w:pPr>
              <w:jc w:val="both"/>
              <w:rPr>
                <w:rFonts w:asciiTheme="minorHAnsi" w:hAnsiTheme="minorHAnsi" w:cstheme="minorHAnsi"/>
                <w:bCs/>
                <w:iCs/>
                <w:sz w:val="22"/>
                <w:szCs w:val="22"/>
              </w:rPr>
            </w:pPr>
            <w:r w:rsidRPr="005E334F">
              <w:rPr>
                <w:rFonts w:asciiTheme="minorHAnsi" w:hAnsiTheme="minorHAnsi" w:cstheme="minorHAnsi"/>
                <w:bCs/>
                <w:iCs/>
                <w:sz w:val="22"/>
                <w:szCs w:val="22"/>
              </w:rPr>
              <w:t>TOP – PLUSZ -1.3.2-23-SH1-2025-00004 – Hunyadi út felújítása Szombathelyen I.ütem</w:t>
            </w:r>
          </w:p>
        </w:tc>
        <w:tc>
          <w:tcPr>
            <w:tcW w:w="4531" w:type="dxa"/>
          </w:tcPr>
          <w:p w14:paraId="56A85E51" w14:textId="77777777" w:rsidR="00EA64FE" w:rsidRDefault="00EA64FE" w:rsidP="00110AA0">
            <w:pPr>
              <w:jc w:val="right"/>
              <w:rPr>
                <w:rFonts w:asciiTheme="minorHAnsi" w:hAnsiTheme="minorHAnsi" w:cstheme="minorHAnsi"/>
                <w:bCs/>
                <w:iCs/>
                <w:sz w:val="22"/>
                <w:szCs w:val="22"/>
              </w:rPr>
            </w:pPr>
          </w:p>
          <w:p w14:paraId="03EFD806" w14:textId="5B17AF9A"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423.301</w:t>
            </w:r>
          </w:p>
        </w:tc>
      </w:tr>
      <w:tr w:rsidR="00EA64FE" w:rsidRPr="007D29BE" w14:paraId="2049BD23" w14:textId="77777777" w:rsidTr="007D29BE">
        <w:tc>
          <w:tcPr>
            <w:tcW w:w="4531" w:type="dxa"/>
          </w:tcPr>
          <w:p w14:paraId="22300801" w14:textId="2D51AF91" w:rsidR="00EA64FE" w:rsidRPr="00B3547E" w:rsidRDefault="005E334F" w:rsidP="00D741D1">
            <w:pPr>
              <w:jc w:val="both"/>
              <w:rPr>
                <w:rFonts w:asciiTheme="minorHAnsi" w:hAnsiTheme="minorHAnsi" w:cstheme="minorHAnsi"/>
                <w:bCs/>
                <w:iCs/>
                <w:sz w:val="22"/>
                <w:szCs w:val="22"/>
              </w:rPr>
            </w:pPr>
            <w:r w:rsidRPr="005E334F">
              <w:rPr>
                <w:rFonts w:asciiTheme="minorHAnsi" w:hAnsiTheme="minorHAnsi" w:cstheme="minorHAnsi"/>
                <w:bCs/>
                <w:iCs/>
                <w:sz w:val="22"/>
                <w:szCs w:val="22"/>
              </w:rPr>
              <w:t xml:space="preserve">TOP – PLUSZ -3.4.1-23-SH1-2024-00003 – </w:t>
            </w:r>
            <w:r w:rsidR="008653AF">
              <w:rPr>
                <w:rFonts w:asciiTheme="minorHAnsi" w:hAnsiTheme="minorHAnsi" w:cstheme="minorHAnsi"/>
                <w:bCs/>
                <w:iCs/>
                <w:sz w:val="22"/>
                <w:szCs w:val="22"/>
              </w:rPr>
              <w:t>Bölcsődék fejlesztése Szombathelyen</w:t>
            </w:r>
          </w:p>
        </w:tc>
        <w:tc>
          <w:tcPr>
            <w:tcW w:w="4531" w:type="dxa"/>
          </w:tcPr>
          <w:p w14:paraId="62422D62" w14:textId="77777777" w:rsidR="00EA64FE" w:rsidRDefault="00EA64FE" w:rsidP="00110AA0">
            <w:pPr>
              <w:jc w:val="right"/>
              <w:rPr>
                <w:rFonts w:asciiTheme="minorHAnsi" w:hAnsiTheme="minorHAnsi" w:cstheme="minorHAnsi"/>
                <w:bCs/>
                <w:iCs/>
                <w:sz w:val="22"/>
                <w:szCs w:val="22"/>
              </w:rPr>
            </w:pPr>
          </w:p>
          <w:p w14:paraId="27AFD9F8" w14:textId="0AF5D389"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225.150</w:t>
            </w:r>
          </w:p>
        </w:tc>
      </w:tr>
      <w:tr w:rsidR="00EA64FE" w:rsidRPr="007D29BE" w14:paraId="710748B5" w14:textId="77777777" w:rsidTr="007D29BE">
        <w:tc>
          <w:tcPr>
            <w:tcW w:w="4531" w:type="dxa"/>
          </w:tcPr>
          <w:p w14:paraId="11C7E136" w14:textId="01692A5B" w:rsidR="00EA64FE" w:rsidRPr="00B3547E" w:rsidRDefault="005E334F" w:rsidP="00D741D1">
            <w:pPr>
              <w:jc w:val="both"/>
              <w:rPr>
                <w:rFonts w:asciiTheme="minorHAnsi" w:hAnsiTheme="minorHAnsi" w:cstheme="minorHAnsi"/>
                <w:bCs/>
                <w:iCs/>
                <w:sz w:val="22"/>
                <w:szCs w:val="22"/>
              </w:rPr>
            </w:pPr>
            <w:r w:rsidRPr="005E334F">
              <w:rPr>
                <w:rFonts w:asciiTheme="minorHAnsi" w:hAnsiTheme="minorHAnsi" w:cstheme="minorHAnsi"/>
                <w:bCs/>
                <w:iCs/>
                <w:sz w:val="22"/>
                <w:szCs w:val="22"/>
              </w:rPr>
              <w:lastRenderedPageBreak/>
              <w:t>TOP – PLUSZ -1.3.2-23-SH1-2025-00001 – Parkolási infrastruktúra- és zöldfejlesztés a Derkovits városrészen</w:t>
            </w:r>
          </w:p>
        </w:tc>
        <w:tc>
          <w:tcPr>
            <w:tcW w:w="4531" w:type="dxa"/>
          </w:tcPr>
          <w:p w14:paraId="6B49AA52" w14:textId="77777777" w:rsidR="00EA64FE" w:rsidRDefault="00EA64FE" w:rsidP="00110AA0">
            <w:pPr>
              <w:jc w:val="right"/>
              <w:rPr>
                <w:rFonts w:asciiTheme="minorHAnsi" w:hAnsiTheme="minorHAnsi" w:cstheme="minorHAnsi"/>
                <w:bCs/>
                <w:iCs/>
                <w:sz w:val="22"/>
                <w:szCs w:val="22"/>
              </w:rPr>
            </w:pPr>
          </w:p>
          <w:p w14:paraId="28A80B93" w14:textId="77777777" w:rsidR="00126F24" w:rsidRDefault="00126F24" w:rsidP="00110AA0">
            <w:pPr>
              <w:jc w:val="right"/>
              <w:rPr>
                <w:rFonts w:asciiTheme="minorHAnsi" w:hAnsiTheme="minorHAnsi" w:cstheme="minorHAnsi"/>
                <w:bCs/>
                <w:iCs/>
                <w:sz w:val="22"/>
                <w:szCs w:val="22"/>
              </w:rPr>
            </w:pPr>
          </w:p>
          <w:p w14:paraId="3C179DA3" w14:textId="19514364"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393.968</w:t>
            </w:r>
          </w:p>
        </w:tc>
      </w:tr>
      <w:tr w:rsidR="00EA64FE" w:rsidRPr="007D29BE" w14:paraId="25651F87" w14:textId="77777777" w:rsidTr="007D29BE">
        <w:tc>
          <w:tcPr>
            <w:tcW w:w="4531" w:type="dxa"/>
          </w:tcPr>
          <w:p w14:paraId="02297363" w14:textId="51373A0E" w:rsidR="00EA64FE" w:rsidRPr="00B3547E" w:rsidRDefault="00305E3C" w:rsidP="00D741D1">
            <w:pPr>
              <w:jc w:val="both"/>
              <w:rPr>
                <w:rFonts w:asciiTheme="minorHAnsi" w:hAnsiTheme="minorHAnsi" w:cstheme="minorHAnsi"/>
                <w:bCs/>
                <w:iCs/>
                <w:sz w:val="22"/>
                <w:szCs w:val="22"/>
              </w:rPr>
            </w:pPr>
            <w:r w:rsidRPr="00305E3C">
              <w:rPr>
                <w:rFonts w:asciiTheme="minorHAnsi" w:hAnsiTheme="minorHAnsi" w:cstheme="minorHAnsi"/>
                <w:bCs/>
                <w:iCs/>
                <w:sz w:val="22"/>
                <w:szCs w:val="22"/>
              </w:rPr>
              <w:t>TOP – PLUSZ -1.3.2-23-SH1-2025-00008 –Hunyadi utca felújítása Szombathelyen II.</w:t>
            </w:r>
            <w:r w:rsidR="00110AA0">
              <w:rPr>
                <w:rFonts w:asciiTheme="minorHAnsi" w:hAnsiTheme="minorHAnsi" w:cstheme="minorHAnsi"/>
                <w:bCs/>
                <w:iCs/>
                <w:sz w:val="22"/>
                <w:szCs w:val="22"/>
              </w:rPr>
              <w:t xml:space="preserve"> </w:t>
            </w:r>
            <w:r w:rsidRPr="00305E3C">
              <w:rPr>
                <w:rFonts w:asciiTheme="minorHAnsi" w:hAnsiTheme="minorHAnsi" w:cstheme="minorHAnsi"/>
                <w:bCs/>
                <w:iCs/>
                <w:sz w:val="22"/>
                <w:szCs w:val="22"/>
              </w:rPr>
              <w:t>ütem</w:t>
            </w:r>
          </w:p>
        </w:tc>
        <w:tc>
          <w:tcPr>
            <w:tcW w:w="4531" w:type="dxa"/>
          </w:tcPr>
          <w:p w14:paraId="6F2ABF78" w14:textId="77777777" w:rsidR="00EA64FE" w:rsidRDefault="00EA64FE" w:rsidP="00110AA0">
            <w:pPr>
              <w:jc w:val="right"/>
              <w:rPr>
                <w:rFonts w:asciiTheme="minorHAnsi" w:hAnsiTheme="minorHAnsi" w:cstheme="minorHAnsi"/>
                <w:bCs/>
                <w:iCs/>
                <w:sz w:val="22"/>
                <w:szCs w:val="22"/>
              </w:rPr>
            </w:pPr>
          </w:p>
          <w:p w14:paraId="0B3C5A69" w14:textId="32A1F842" w:rsidR="00126F24" w:rsidRPr="007D29BE" w:rsidRDefault="00126F24" w:rsidP="00110AA0">
            <w:pPr>
              <w:jc w:val="right"/>
              <w:rPr>
                <w:rFonts w:asciiTheme="minorHAnsi" w:hAnsiTheme="minorHAnsi" w:cstheme="minorHAnsi"/>
                <w:bCs/>
                <w:iCs/>
                <w:sz w:val="22"/>
                <w:szCs w:val="22"/>
              </w:rPr>
            </w:pPr>
            <w:r>
              <w:rPr>
                <w:rFonts w:asciiTheme="minorHAnsi" w:hAnsiTheme="minorHAnsi" w:cstheme="minorHAnsi"/>
                <w:bCs/>
                <w:iCs/>
                <w:sz w:val="22"/>
                <w:szCs w:val="22"/>
              </w:rPr>
              <w:t>514.871</w:t>
            </w:r>
          </w:p>
        </w:tc>
      </w:tr>
      <w:tr w:rsidR="00E66B0D" w:rsidRPr="000B7EB3" w14:paraId="4B3419E5" w14:textId="77777777" w:rsidTr="007D29BE">
        <w:tc>
          <w:tcPr>
            <w:tcW w:w="4531" w:type="dxa"/>
          </w:tcPr>
          <w:p w14:paraId="48AB23F2" w14:textId="03B7F8BF" w:rsidR="00E66B0D" w:rsidRPr="000B7EB3" w:rsidRDefault="00E66B0D" w:rsidP="00D741D1">
            <w:pPr>
              <w:jc w:val="both"/>
              <w:rPr>
                <w:rFonts w:asciiTheme="minorHAnsi" w:hAnsiTheme="minorHAnsi" w:cstheme="minorHAnsi"/>
                <w:bCs/>
                <w:iCs/>
                <w:sz w:val="22"/>
                <w:szCs w:val="22"/>
              </w:rPr>
            </w:pPr>
            <w:r w:rsidRPr="000B7EB3">
              <w:rPr>
                <w:rFonts w:asciiTheme="minorHAnsi" w:hAnsiTheme="minorHAnsi" w:cstheme="minorHAnsi"/>
                <w:bCs/>
                <w:iCs/>
                <w:sz w:val="22"/>
                <w:szCs w:val="22"/>
              </w:rPr>
              <w:t>TOP – PLUSZ -1.3.2-23-SH1-2025-00012 –Belterületi úthálózat fejlesztése</w:t>
            </w:r>
          </w:p>
        </w:tc>
        <w:tc>
          <w:tcPr>
            <w:tcW w:w="4531" w:type="dxa"/>
          </w:tcPr>
          <w:p w14:paraId="6D75C6E0" w14:textId="77777777" w:rsidR="00E66B0D" w:rsidRPr="000B7EB3" w:rsidRDefault="00E66B0D" w:rsidP="00110AA0">
            <w:pPr>
              <w:jc w:val="right"/>
              <w:rPr>
                <w:rFonts w:asciiTheme="minorHAnsi" w:hAnsiTheme="minorHAnsi" w:cstheme="minorHAnsi"/>
                <w:bCs/>
                <w:iCs/>
                <w:sz w:val="22"/>
                <w:szCs w:val="22"/>
              </w:rPr>
            </w:pPr>
          </w:p>
          <w:p w14:paraId="688ED952" w14:textId="715453AD" w:rsidR="00681B72" w:rsidRPr="000B7EB3" w:rsidRDefault="00681B72" w:rsidP="00110AA0">
            <w:pPr>
              <w:jc w:val="right"/>
              <w:rPr>
                <w:rFonts w:asciiTheme="minorHAnsi" w:hAnsiTheme="minorHAnsi" w:cstheme="minorHAnsi"/>
                <w:bCs/>
                <w:iCs/>
                <w:sz w:val="22"/>
                <w:szCs w:val="22"/>
              </w:rPr>
            </w:pPr>
            <w:r w:rsidRPr="000B7EB3">
              <w:rPr>
                <w:rFonts w:asciiTheme="minorHAnsi" w:hAnsiTheme="minorHAnsi" w:cstheme="minorHAnsi"/>
                <w:bCs/>
                <w:iCs/>
                <w:sz w:val="22"/>
                <w:szCs w:val="22"/>
              </w:rPr>
              <w:t>589.110</w:t>
            </w:r>
          </w:p>
        </w:tc>
      </w:tr>
      <w:tr w:rsidR="00E66B0D" w:rsidRPr="000B7EB3" w14:paraId="16D96885" w14:textId="77777777" w:rsidTr="007D29BE">
        <w:tc>
          <w:tcPr>
            <w:tcW w:w="4531" w:type="dxa"/>
          </w:tcPr>
          <w:p w14:paraId="197CF8C7" w14:textId="5C2F1401" w:rsidR="00E66B0D" w:rsidRPr="000B7EB3" w:rsidRDefault="00E66B0D" w:rsidP="00D741D1">
            <w:pPr>
              <w:jc w:val="both"/>
              <w:rPr>
                <w:rFonts w:asciiTheme="minorHAnsi" w:hAnsiTheme="minorHAnsi" w:cstheme="minorHAnsi"/>
                <w:bCs/>
                <w:iCs/>
                <w:sz w:val="22"/>
                <w:szCs w:val="22"/>
              </w:rPr>
            </w:pPr>
            <w:r w:rsidRPr="000B7EB3">
              <w:rPr>
                <w:rFonts w:asciiTheme="minorHAnsi" w:hAnsiTheme="minorHAnsi" w:cstheme="minorHAnsi"/>
                <w:bCs/>
                <w:iCs/>
                <w:sz w:val="22"/>
                <w:szCs w:val="22"/>
              </w:rPr>
              <w:t>TOP – PLUSZ -1.3.2-23-SH1-2025-00011 –Markusovszky L. u. felújítása</w:t>
            </w:r>
          </w:p>
        </w:tc>
        <w:tc>
          <w:tcPr>
            <w:tcW w:w="4531" w:type="dxa"/>
          </w:tcPr>
          <w:p w14:paraId="694483D0" w14:textId="77777777" w:rsidR="00E66B0D" w:rsidRPr="000B7EB3" w:rsidRDefault="00E66B0D" w:rsidP="00110AA0">
            <w:pPr>
              <w:jc w:val="right"/>
              <w:rPr>
                <w:rFonts w:asciiTheme="minorHAnsi" w:hAnsiTheme="minorHAnsi" w:cstheme="minorHAnsi"/>
                <w:bCs/>
                <w:iCs/>
                <w:sz w:val="22"/>
                <w:szCs w:val="22"/>
              </w:rPr>
            </w:pPr>
          </w:p>
          <w:p w14:paraId="6A6098F9" w14:textId="46A815FC" w:rsidR="00681B72" w:rsidRPr="000B7EB3" w:rsidRDefault="00681B72" w:rsidP="00110AA0">
            <w:pPr>
              <w:jc w:val="right"/>
              <w:rPr>
                <w:rFonts w:asciiTheme="minorHAnsi" w:hAnsiTheme="minorHAnsi" w:cstheme="minorHAnsi"/>
                <w:bCs/>
                <w:iCs/>
                <w:sz w:val="22"/>
                <w:szCs w:val="22"/>
              </w:rPr>
            </w:pPr>
            <w:r w:rsidRPr="000B7EB3">
              <w:rPr>
                <w:rFonts w:asciiTheme="minorHAnsi" w:hAnsiTheme="minorHAnsi" w:cstheme="minorHAnsi"/>
                <w:bCs/>
                <w:iCs/>
                <w:sz w:val="22"/>
                <w:szCs w:val="22"/>
              </w:rPr>
              <w:t>662.601</w:t>
            </w:r>
          </w:p>
        </w:tc>
      </w:tr>
      <w:tr w:rsidR="00EA64FE" w:rsidRPr="00367E37" w14:paraId="4C6CB005" w14:textId="77777777" w:rsidTr="007D29BE">
        <w:tc>
          <w:tcPr>
            <w:tcW w:w="4531" w:type="dxa"/>
          </w:tcPr>
          <w:p w14:paraId="634862C6" w14:textId="1DAA42EB" w:rsidR="00EA64FE" w:rsidRPr="00367E37" w:rsidRDefault="008C4153" w:rsidP="00D741D1">
            <w:pPr>
              <w:jc w:val="both"/>
              <w:rPr>
                <w:rFonts w:asciiTheme="minorHAnsi" w:hAnsiTheme="minorHAnsi" w:cstheme="minorHAnsi"/>
                <w:b/>
                <w:iCs/>
                <w:sz w:val="22"/>
                <w:szCs w:val="22"/>
              </w:rPr>
            </w:pPr>
            <w:r w:rsidRPr="00367E37">
              <w:rPr>
                <w:rFonts w:asciiTheme="minorHAnsi" w:hAnsiTheme="minorHAnsi" w:cstheme="minorHAnsi"/>
                <w:b/>
                <w:iCs/>
                <w:sz w:val="22"/>
                <w:szCs w:val="22"/>
              </w:rPr>
              <w:t>Mindösszesen</w:t>
            </w:r>
          </w:p>
        </w:tc>
        <w:tc>
          <w:tcPr>
            <w:tcW w:w="4531" w:type="dxa"/>
          </w:tcPr>
          <w:p w14:paraId="6B0225B0" w14:textId="2FAC6AAE" w:rsidR="00EA64FE" w:rsidRPr="00367E37" w:rsidRDefault="00E66B0D" w:rsidP="00110AA0">
            <w:pPr>
              <w:jc w:val="right"/>
              <w:rPr>
                <w:rFonts w:asciiTheme="minorHAnsi" w:hAnsiTheme="minorHAnsi" w:cstheme="minorHAnsi"/>
                <w:b/>
                <w:iCs/>
                <w:sz w:val="22"/>
                <w:szCs w:val="22"/>
              </w:rPr>
            </w:pPr>
            <w:r w:rsidRPr="00367E37">
              <w:rPr>
                <w:rFonts w:asciiTheme="minorHAnsi" w:hAnsiTheme="minorHAnsi" w:cstheme="minorHAnsi"/>
                <w:b/>
                <w:iCs/>
                <w:sz w:val="22"/>
                <w:szCs w:val="22"/>
              </w:rPr>
              <w:t>6.240.807</w:t>
            </w:r>
          </w:p>
        </w:tc>
      </w:tr>
    </w:tbl>
    <w:p w14:paraId="03F3ECCC" w14:textId="77777777" w:rsidR="007D29BE" w:rsidRPr="00367E37" w:rsidRDefault="007D29BE" w:rsidP="00D741D1">
      <w:pPr>
        <w:ind w:firstLine="284"/>
        <w:jc w:val="both"/>
        <w:rPr>
          <w:rFonts w:asciiTheme="minorHAnsi" w:hAnsiTheme="minorHAnsi" w:cstheme="minorHAnsi"/>
          <w:b/>
          <w:iCs/>
          <w:sz w:val="22"/>
          <w:szCs w:val="22"/>
        </w:rPr>
      </w:pPr>
    </w:p>
    <w:p w14:paraId="59F2BB53" w14:textId="56AFC77A" w:rsidR="000F230A" w:rsidRDefault="007D29BE" w:rsidP="002D794E">
      <w:pPr>
        <w:ind w:left="360"/>
        <w:jc w:val="both"/>
        <w:rPr>
          <w:rFonts w:asciiTheme="minorHAnsi" w:hAnsiTheme="minorHAnsi" w:cstheme="minorHAnsi"/>
          <w:b/>
          <w:i/>
          <w:sz w:val="22"/>
          <w:szCs w:val="22"/>
        </w:rPr>
      </w:pPr>
      <w:r w:rsidRPr="007D29BE">
        <w:rPr>
          <w:rFonts w:asciiTheme="minorHAnsi" w:hAnsiTheme="minorHAnsi" w:cstheme="minorHAnsi"/>
          <w:b/>
          <w:i/>
          <w:sz w:val="22"/>
          <w:szCs w:val="22"/>
        </w:rPr>
        <w:t>(egyenleg:</w:t>
      </w:r>
      <w:r w:rsidR="00245020">
        <w:rPr>
          <w:rFonts w:asciiTheme="minorHAnsi" w:hAnsiTheme="minorHAnsi" w:cstheme="minorHAnsi"/>
          <w:b/>
          <w:i/>
          <w:sz w:val="22"/>
          <w:szCs w:val="22"/>
        </w:rPr>
        <w:t xml:space="preserve"> 0</w:t>
      </w:r>
      <w:r w:rsidRPr="007D29BE">
        <w:rPr>
          <w:rFonts w:asciiTheme="minorHAnsi" w:hAnsiTheme="minorHAnsi" w:cstheme="minorHAnsi"/>
          <w:b/>
          <w:i/>
          <w:sz w:val="22"/>
          <w:szCs w:val="22"/>
        </w:rPr>
        <w:t xml:space="preserve"> eFt)</w:t>
      </w:r>
    </w:p>
    <w:bookmarkEnd w:id="1"/>
    <w:p w14:paraId="334CCE60" w14:textId="77777777" w:rsidR="002F400F" w:rsidRPr="005E2762" w:rsidRDefault="002F400F" w:rsidP="002F400F">
      <w:pPr>
        <w:ind w:left="360"/>
        <w:jc w:val="both"/>
        <w:rPr>
          <w:rFonts w:ascii="Calibri" w:hAnsi="Calibri" w:cs="Calibri"/>
          <w:sz w:val="22"/>
          <w:szCs w:val="22"/>
        </w:rPr>
      </w:pPr>
    </w:p>
    <w:p w14:paraId="29538AF1" w14:textId="5E16A7A0" w:rsidR="00500B0C" w:rsidRPr="00F14DC1" w:rsidRDefault="00500B0C" w:rsidP="00AE7DB8">
      <w:pPr>
        <w:numPr>
          <w:ilvl w:val="0"/>
          <w:numId w:val="7"/>
        </w:numPr>
        <w:rPr>
          <w:rFonts w:ascii="Calibri" w:hAnsi="Calibri" w:cs="Calibri"/>
          <w:b/>
          <w:i/>
          <w:sz w:val="22"/>
          <w:szCs w:val="22"/>
          <w:u w:val="single"/>
        </w:rPr>
      </w:pPr>
      <w:r w:rsidRPr="00F14DC1">
        <w:rPr>
          <w:rFonts w:ascii="Calibri" w:hAnsi="Calibri" w:cs="Calibri"/>
          <w:b/>
          <w:i/>
          <w:sz w:val="22"/>
          <w:szCs w:val="22"/>
          <w:u w:val="single"/>
        </w:rPr>
        <w:t xml:space="preserve">A </w:t>
      </w:r>
      <w:r w:rsidR="00B911D2" w:rsidRPr="00F14DC1">
        <w:rPr>
          <w:rFonts w:ascii="Calibri" w:hAnsi="Calibri" w:cs="Calibri"/>
          <w:b/>
          <w:i/>
          <w:sz w:val="22"/>
          <w:szCs w:val="22"/>
          <w:u w:val="single"/>
        </w:rPr>
        <w:t>közgyűlési</w:t>
      </w:r>
      <w:r w:rsidR="00A26220" w:rsidRPr="00F14DC1">
        <w:rPr>
          <w:rFonts w:ascii="Calibri" w:hAnsi="Calibri" w:cs="Calibri"/>
          <w:b/>
          <w:i/>
          <w:sz w:val="22"/>
          <w:szCs w:val="22"/>
          <w:u w:val="single"/>
        </w:rPr>
        <w:t xml:space="preserve"> határozatok</w:t>
      </w:r>
      <w:r w:rsidR="00242F39">
        <w:rPr>
          <w:rFonts w:ascii="Calibri" w:hAnsi="Calibri" w:cs="Calibri"/>
          <w:b/>
          <w:i/>
          <w:sz w:val="22"/>
          <w:szCs w:val="22"/>
          <w:u w:val="single"/>
        </w:rPr>
        <w:t xml:space="preserve"> </w:t>
      </w:r>
      <w:r w:rsidRPr="00F14DC1">
        <w:rPr>
          <w:rFonts w:ascii="Calibri" w:hAnsi="Calibri" w:cs="Calibri"/>
          <w:b/>
          <w:i/>
          <w:sz w:val="22"/>
          <w:szCs w:val="22"/>
          <w:u w:val="single"/>
        </w:rPr>
        <w:t xml:space="preserve">alapján </w:t>
      </w:r>
      <w:r w:rsidRPr="00245020">
        <w:rPr>
          <w:rFonts w:ascii="Calibri" w:hAnsi="Calibri" w:cs="Calibri"/>
          <w:b/>
          <w:i/>
          <w:sz w:val="22"/>
          <w:szCs w:val="22"/>
          <w:u w:val="single"/>
        </w:rPr>
        <w:t>biztosított tételek összevont egyenlege:</w:t>
      </w:r>
      <w:r w:rsidR="00E52BF2" w:rsidRPr="00245020">
        <w:rPr>
          <w:rFonts w:ascii="Calibri" w:hAnsi="Calibri" w:cs="Calibri"/>
          <w:b/>
          <w:i/>
          <w:sz w:val="22"/>
          <w:szCs w:val="22"/>
          <w:u w:val="single"/>
        </w:rPr>
        <w:t xml:space="preserve"> </w:t>
      </w:r>
      <w:r w:rsidR="0017205C" w:rsidRPr="00245020">
        <w:rPr>
          <w:rFonts w:ascii="Calibri" w:hAnsi="Calibri" w:cs="Calibri"/>
          <w:b/>
          <w:i/>
          <w:sz w:val="22"/>
          <w:szCs w:val="22"/>
          <w:u w:val="single"/>
        </w:rPr>
        <w:t xml:space="preserve">+118.810 </w:t>
      </w:r>
      <w:r w:rsidR="00E52BF2" w:rsidRPr="00245020">
        <w:rPr>
          <w:rFonts w:ascii="Calibri" w:hAnsi="Calibri" w:cs="Calibri"/>
          <w:b/>
          <w:i/>
          <w:sz w:val="22"/>
          <w:szCs w:val="22"/>
          <w:u w:val="single"/>
        </w:rPr>
        <w:t>eFt</w:t>
      </w:r>
    </w:p>
    <w:p w14:paraId="050614F9" w14:textId="77777777" w:rsidR="00500B0C" w:rsidRDefault="00500B0C" w:rsidP="00500B0C">
      <w:pPr>
        <w:ind w:left="1710"/>
        <w:rPr>
          <w:rFonts w:ascii="Calibri" w:hAnsi="Calibri" w:cs="Calibri"/>
          <w:b/>
          <w:i/>
          <w:sz w:val="22"/>
          <w:szCs w:val="22"/>
          <w:u w:val="single"/>
        </w:rPr>
      </w:pPr>
    </w:p>
    <w:p w14:paraId="2CD6BA73" w14:textId="77777777" w:rsidR="00206B8E" w:rsidRPr="005E2762" w:rsidRDefault="00206B8E" w:rsidP="00206B8E">
      <w:pPr>
        <w:keepNext/>
        <w:numPr>
          <w:ilvl w:val="0"/>
          <w:numId w:val="7"/>
        </w:numPr>
        <w:jc w:val="both"/>
        <w:outlineLvl w:val="7"/>
        <w:rPr>
          <w:rFonts w:ascii="Calibri" w:hAnsi="Calibri" w:cs="Calibri"/>
          <w:b/>
          <w:sz w:val="22"/>
          <w:szCs w:val="22"/>
        </w:rPr>
      </w:pPr>
      <w:r w:rsidRPr="005E2762">
        <w:rPr>
          <w:rFonts w:ascii="Calibri" w:hAnsi="Calibri" w:cs="Calibri"/>
          <w:b/>
          <w:sz w:val="22"/>
          <w:szCs w:val="22"/>
        </w:rPr>
        <w:t>Közgyűlési döntés</w:t>
      </w:r>
      <w:r>
        <w:rPr>
          <w:rFonts w:ascii="Calibri" w:hAnsi="Calibri" w:cs="Calibri"/>
          <w:b/>
          <w:sz w:val="22"/>
          <w:szCs w:val="22"/>
        </w:rPr>
        <w:t>t igénylő</w:t>
      </w:r>
      <w:r w:rsidRPr="005E2762">
        <w:rPr>
          <w:rFonts w:ascii="Calibri" w:hAnsi="Calibri" w:cs="Calibri"/>
          <w:b/>
          <w:sz w:val="22"/>
          <w:szCs w:val="22"/>
        </w:rPr>
        <w:t xml:space="preserve"> többletkiadások  </w:t>
      </w:r>
    </w:p>
    <w:p w14:paraId="44BB8E4A" w14:textId="77777777" w:rsidR="00206B8E" w:rsidRDefault="00206B8E" w:rsidP="00206B8E">
      <w:pPr>
        <w:keepNext/>
        <w:jc w:val="both"/>
        <w:outlineLvl w:val="7"/>
        <w:rPr>
          <w:rFonts w:ascii="Calibri" w:hAnsi="Calibri" w:cs="Calibri"/>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840"/>
        <w:gridCol w:w="2387"/>
      </w:tblGrid>
      <w:tr w:rsidR="00206B8E" w:rsidRPr="00F17BE7" w14:paraId="428DD3FA" w14:textId="77777777" w:rsidTr="00AC2B05">
        <w:tc>
          <w:tcPr>
            <w:tcW w:w="1237" w:type="dxa"/>
          </w:tcPr>
          <w:p w14:paraId="6A4E95C8" w14:textId="77777777" w:rsidR="00206B8E" w:rsidRPr="005E2762" w:rsidRDefault="00206B8E" w:rsidP="00AC2B05">
            <w:pPr>
              <w:jc w:val="center"/>
              <w:rPr>
                <w:rFonts w:ascii="Calibri" w:hAnsi="Calibri" w:cs="Calibri"/>
                <w:b/>
                <w:sz w:val="22"/>
                <w:szCs w:val="22"/>
              </w:rPr>
            </w:pPr>
            <w:bookmarkStart w:id="2" w:name="_Hlk166585490"/>
            <w:r w:rsidRPr="005E2762">
              <w:rPr>
                <w:rFonts w:ascii="Calibri" w:hAnsi="Calibri" w:cs="Calibri"/>
                <w:b/>
                <w:sz w:val="22"/>
                <w:szCs w:val="22"/>
              </w:rPr>
              <w:t>Sorszám</w:t>
            </w:r>
          </w:p>
        </w:tc>
        <w:tc>
          <w:tcPr>
            <w:tcW w:w="5840" w:type="dxa"/>
          </w:tcPr>
          <w:p w14:paraId="63D4FEE2" w14:textId="77777777" w:rsidR="00206B8E" w:rsidRPr="005E2762" w:rsidRDefault="00206B8E" w:rsidP="00AC2B05">
            <w:pPr>
              <w:jc w:val="center"/>
              <w:rPr>
                <w:rFonts w:ascii="Calibri" w:hAnsi="Calibri" w:cs="Calibri"/>
                <w:b/>
                <w:sz w:val="22"/>
                <w:szCs w:val="22"/>
              </w:rPr>
            </w:pPr>
            <w:r w:rsidRPr="005E2762">
              <w:rPr>
                <w:rFonts w:ascii="Calibri" w:hAnsi="Calibri" w:cs="Calibri"/>
                <w:b/>
                <w:sz w:val="22"/>
                <w:szCs w:val="22"/>
              </w:rPr>
              <w:t>Megnevezés</w:t>
            </w:r>
            <w:r>
              <w:rPr>
                <w:rFonts w:ascii="Calibri" w:hAnsi="Calibri" w:cs="Calibri"/>
                <w:b/>
                <w:sz w:val="22"/>
                <w:szCs w:val="22"/>
              </w:rPr>
              <w:t xml:space="preserve"> </w:t>
            </w:r>
          </w:p>
        </w:tc>
        <w:tc>
          <w:tcPr>
            <w:tcW w:w="2387" w:type="dxa"/>
          </w:tcPr>
          <w:p w14:paraId="7D430D26" w14:textId="77777777" w:rsidR="00206B8E" w:rsidRDefault="00206B8E" w:rsidP="00AC2B05">
            <w:pPr>
              <w:jc w:val="center"/>
              <w:rPr>
                <w:rFonts w:ascii="Calibri" w:hAnsi="Calibri" w:cs="Calibri"/>
                <w:b/>
                <w:sz w:val="22"/>
                <w:szCs w:val="22"/>
              </w:rPr>
            </w:pPr>
            <w:r w:rsidRPr="005E2762">
              <w:rPr>
                <w:rFonts w:ascii="Calibri" w:hAnsi="Calibri" w:cs="Calibri"/>
                <w:b/>
                <w:sz w:val="22"/>
                <w:szCs w:val="22"/>
              </w:rPr>
              <w:t>Összeg (ezer forintban)</w:t>
            </w:r>
          </w:p>
          <w:p w14:paraId="105C5DF9" w14:textId="77777777" w:rsidR="00206B8E" w:rsidRPr="005E2762" w:rsidRDefault="00206B8E" w:rsidP="00AC2B05">
            <w:pPr>
              <w:jc w:val="center"/>
              <w:rPr>
                <w:rFonts w:ascii="Calibri" w:hAnsi="Calibri" w:cs="Calibri"/>
                <w:b/>
                <w:sz w:val="22"/>
                <w:szCs w:val="22"/>
              </w:rPr>
            </w:pPr>
          </w:p>
        </w:tc>
      </w:tr>
      <w:tr w:rsidR="00206B8E" w:rsidRPr="00F17BE7" w14:paraId="6FFBDB80" w14:textId="77777777" w:rsidTr="00AC2B05">
        <w:tc>
          <w:tcPr>
            <w:tcW w:w="1237" w:type="dxa"/>
          </w:tcPr>
          <w:p w14:paraId="5609F257" w14:textId="77777777" w:rsidR="00206B8E" w:rsidRPr="005E2762" w:rsidRDefault="00206B8E" w:rsidP="00AC2B05">
            <w:pPr>
              <w:jc w:val="right"/>
              <w:rPr>
                <w:rFonts w:ascii="Calibri" w:hAnsi="Calibri" w:cs="Calibri"/>
                <w:b/>
                <w:sz w:val="22"/>
                <w:szCs w:val="22"/>
              </w:rPr>
            </w:pPr>
            <w:r w:rsidRPr="005E2762">
              <w:rPr>
                <w:rFonts w:ascii="Calibri" w:hAnsi="Calibri" w:cs="Calibri"/>
                <w:b/>
                <w:sz w:val="22"/>
                <w:szCs w:val="22"/>
              </w:rPr>
              <w:t>1.</w:t>
            </w:r>
          </w:p>
        </w:tc>
        <w:tc>
          <w:tcPr>
            <w:tcW w:w="5840" w:type="dxa"/>
            <w:vAlign w:val="center"/>
          </w:tcPr>
          <w:p w14:paraId="56A2C93F" w14:textId="23077F40" w:rsidR="00206B8E" w:rsidRPr="005E2762" w:rsidRDefault="0049436A" w:rsidP="00AC2B05">
            <w:pPr>
              <w:jc w:val="both"/>
              <w:rPr>
                <w:rFonts w:ascii="Calibri" w:hAnsi="Calibri" w:cs="Calibri"/>
                <w:sz w:val="22"/>
                <w:szCs w:val="22"/>
              </w:rPr>
            </w:pPr>
            <w:r w:rsidRPr="0049436A">
              <w:rPr>
                <w:rFonts w:ascii="Calibri" w:hAnsi="Calibri" w:cs="Calibri"/>
                <w:sz w:val="22"/>
                <w:szCs w:val="22"/>
              </w:rPr>
              <w:t>Sport nagyrendezvények</w:t>
            </w:r>
          </w:p>
        </w:tc>
        <w:tc>
          <w:tcPr>
            <w:tcW w:w="2387" w:type="dxa"/>
          </w:tcPr>
          <w:p w14:paraId="3E0F6754" w14:textId="2E1C00FF" w:rsidR="00206B8E" w:rsidRPr="000907D9" w:rsidRDefault="00BA1A01" w:rsidP="00AC2B05">
            <w:pPr>
              <w:pStyle w:val="Listaszerbekezds"/>
              <w:ind w:left="720"/>
              <w:jc w:val="right"/>
              <w:rPr>
                <w:rFonts w:ascii="Calibri" w:hAnsi="Calibri" w:cs="Calibri"/>
                <w:sz w:val="22"/>
                <w:szCs w:val="22"/>
              </w:rPr>
            </w:pPr>
            <w:r>
              <w:rPr>
                <w:rFonts w:ascii="Calibri" w:hAnsi="Calibri" w:cs="Calibri"/>
                <w:sz w:val="22"/>
                <w:szCs w:val="22"/>
              </w:rPr>
              <w:t>2</w:t>
            </w:r>
            <w:r w:rsidR="00241987">
              <w:rPr>
                <w:rFonts w:ascii="Calibri" w:hAnsi="Calibri" w:cs="Calibri"/>
                <w:sz w:val="22"/>
                <w:szCs w:val="22"/>
              </w:rPr>
              <w:t>6</w:t>
            </w:r>
            <w:r>
              <w:rPr>
                <w:rFonts w:ascii="Calibri" w:hAnsi="Calibri" w:cs="Calibri"/>
                <w:sz w:val="22"/>
                <w:szCs w:val="22"/>
              </w:rPr>
              <w:t>.000</w:t>
            </w:r>
          </w:p>
        </w:tc>
      </w:tr>
      <w:tr w:rsidR="00206B8E" w:rsidRPr="00F17BE7" w14:paraId="6222FAFD" w14:textId="77777777" w:rsidTr="00AC2B05">
        <w:tc>
          <w:tcPr>
            <w:tcW w:w="1237" w:type="dxa"/>
          </w:tcPr>
          <w:p w14:paraId="56496B9E" w14:textId="77777777" w:rsidR="006236B1" w:rsidRDefault="006236B1" w:rsidP="00AC2B05">
            <w:pPr>
              <w:jc w:val="right"/>
              <w:rPr>
                <w:rFonts w:ascii="Calibri" w:hAnsi="Calibri" w:cs="Calibri"/>
                <w:b/>
                <w:sz w:val="22"/>
                <w:szCs w:val="22"/>
              </w:rPr>
            </w:pPr>
          </w:p>
          <w:p w14:paraId="424921CE" w14:textId="4013E51D" w:rsidR="00206B8E" w:rsidRPr="005E2762" w:rsidRDefault="006236B1" w:rsidP="00AC2B05">
            <w:pPr>
              <w:jc w:val="right"/>
              <w:rPr>
                <w:rFonts w:ascii="Calibri" w:hAnsi="Calibri" w:cs="Calibri"/>
                <w:b/>
                <w:sz w:val="22"/>
                <w:szCs w:val="22"/>
              </w:rPr>
            </w:pPr>
            <w:r>
              <w:rPr>
                <w:rFonts w:ascii="Calibri" w:hAnsi="Calibri" w:cs="Calibri"/>
                <w:b/>
                <w:sz w:val="22"/>
                <w:szCs w:val="22"/>
              </w:rPr>
              <w:t>2</w:t>
            </w:r>
            <w:r w:rsidR="00206B8E" w:rsidRPr="005E2762">
              <w:rPr>
                <w:rFonts w:ascii="Calibri" w:hAnsi="Calibri" w:cs="Calibri"/>
                <w:b/>
                <w:sz w:val="22"/>
                <w:szCs w:val="22"/>
              </w:rPr>
              <w:t>.</w:t>
            </w:r>
          </w:p>
        </w:tc>
        <w:tc>
          <w:tcPr>
            <w:tcW w:w="5840" w:type="dxa"/>
            <w:vAlign w:val="center"/>
          </w:tcPr>
          <w:p w14:paraId="0AA2B83A" w14:textId="78775DDB" w:rsidR="00206B8E" w:rsidRPr="005E2762" w:rsidRDefault="00BA1A01" w:rsidP="00AC2B05">
            <w:pPr>
              <w:jc w:val="both"/>
              <w:rPr>
                <w:rFonts w:ascii="Calibri" w:hAnsi="Calibri" w:cs="Calibri"/>
                <w:sz w:val="22"/>
                <w:szCs w:val="22"/>
              </w:rPr>
            </w:pPr>
            <w:r w:rsidRPr="00BA1A01">
              <w:rPr>
                <w:rFonts w:ascii="Calibri" w:hAnsi="Calibri" w:cs="Calibri"/>
                <w:sz w:val="22"/>
                <w:szCs w:val="22"/>
              </w:rPr>
              <w:t xml:space="preserve">EBI - Meseház Bölcsőde melegvíz-ellátási rendszer korszerűsítése </w:t>
            </w:r>
          </w:p>
        </w:tc>
        <w:tc>
          <w:tcPr>
            <w:tcW w:w="2387" w:type="dxa"/>
            <w:vAlign w:val="center"/>
          </w:tcPr>
          <w:p w14:paraId="6258773B" w14:textId="77777777" w:rsidR="00206B8E" w:rsidRDefault="00206B8E" w:rsidP="00AC2B05">
            <w:pPr>
              <w:jc w:val="right"/>
              <w:rPr>
                <w:rFonts w:ascii="Calibri" w:hAnsi="Calibri" w:cs="Calibri"/>
                <w:sz w:val="22"/>
                <w:szCs w:val="22"/>
              </w:rPr>
            </w:pPr>
          </w:p>
          <w:p w14:paraId="1F823B20" w14:textId="17CFC049" w:rsidR="00BA1A01" w:rsidRPr="005E2762" w:rsidRDefault="00BA1A01" w:rsidP="00AC2B05">
            <w:pPr>
              <w:jc w:val="right"/>
              <w:rPr>
                <w:rFonts w:ascii="Calibri" w:hAnsi="Calibri" w:cs="Calibri"/>
                <w:sz w:val="22"/>
                <w:szCs w:val="22"/>
              </w:rPr>
            </w:pPr>
            <w:r>
              <w:rPr>
                <w:rFonts w:ascii="Calibri" w:hAnsi="Calibri" w:cs="Calibri"/>
                <w:sz w:val="22"/>
                <w:szCs w:val="22"/>
              </w:rPr>
              <w:t>3.163</w:t>
            </w:r>
          </w:p>
        </w:tc>
      </w:tr>
      <w:tr w:rsidR="00206B8E" w:rsidRPr="00F17BE7" w14:paraId="00F8BB57" w14:textId="77777777" w:rsidTr="00AC2B05">
        <w:tc>
          <w:tcPr>
            <w:tcW w:w="1237" w:type="dxa"/>
          </w:tcPr>
          <w:p w14:paraId="730396DF" w14:textId="428A5031" w:rsidR="00206B8E" w:rsidRDefault="006236B1" w:rsidP="00AC2B05">
            <w:pPr>
              <w:jc w:val="right"/>
              <w:rPr>
                <w:rFonts w:ascii="Calibri" w:hAnsi="Calibri" w:cs="Calibri"/>
                <w:b/>
                <w:sz w:val="22"/>
                <w:szCs w:val="22"/>
              </w:rPr>
            </w:pPr>
            <w:r>
              <w:rPr>
                <w:rFonts w:ascii="Calibri" w:hAnsi="Calibri" w:cs="Calibri"/>
                <w:b/>
                <w:sz w:val="22"/>
                <w:szCs w:val="22"/>
              </w:rPr>
              <w:t>3</w:t>
            </w:r>
            <w:r w:rsidR="00206B8E">
              <w:rPr>
                <w:rFonts w:ascii="Calibri" w:hAnsi="Calibri" w:cs="Calibri"/>
                <w:b/>
                <w:sz w:val="22"/>
                <w:szCs w:val="22"/>
              </w:rPr>
              <w:t>.</w:t>
            </w:r>
          </w:p>
        </w:tc>
        <w:tc>
          <w:tcPr>
            <w:tcW w:w="5840" w:type="dxa"/>
            <w:vAlign w:val="center"/>
          </w:tcPr>
          <w:p w14:paraId="6BBFD67B" w14:textId="5C6C0918" w:rsidR="00206B8E" w:rsidRPr="00B3746E" w:rsidRDefault="00BA1A01" w:rsidP="00AC2B05">
            <w:pPr>
              <w:jc w:val="both"/>
              <w:rPr>
                <w:rFonts w:ascii="Calibri" w:hAnsi="Calibri" w:cs="Calibri"/>
                <w:sz w:val="22"/>
                <w:szCs w:val="22"/>
              </w:rPr>
            </w:pPr>
            <w:r w:rsidRPr="00BA1A01">
              <w:rPr>
                <w:rFonts w:ascii="Calibri" w:hAnsi="Calibri" w:cs="Calibri"/>
                <w:sz w:val="22"/>
                <w:szCs w:val="22"/>
              </w:rPr>
              <w:t>Kulturális és Civil Alap</w:t>
            </w:r>
          </w:p>
        </w:tc>
        <w:tc>
          <w:tcPr>
            <w:tcW w:w="2387" w:type="dxa"/>
            <w:vAlign w:val="center"/>
          </w:tcPr>
          <w:p w14:paraId="3994150F" w14:textId="30409797" w:rsidR="00206B8E" w:rsidRDefault="00BA1A01" w:rsidP="00AC2B05">
            <w:pPr>
              <w:jc w:val="right"/>
              <w:rPr>
                <w:rFonts w:ascii="Calibri" w:hAnsi="Calibri" w:cs="Calibri"/>
                <w:sz w:val="22"/>
                <w:szCs w:val="22"/>
              </w:rPr>
            </w:pPr>
            <w:r>
              <w:rPr>
                <w:rFonts w:ascii="Calibri" w:hAnsi="Calibri" w:cs="Calibri"/>
                <w:sz w:val="22"/>
                <w:szCs w:val="22"/>
              </w:rPr>
              <w:t>6.000</w:t>
            </w:r>
          </w:p>
        </w:tc>
      </w:tr>
      <w:tr w:rsidR="00206B8E" w:rsidRPr="00F17BE7" w14:paraId="3B1BBE7E" w14:textId="77777777" w:rsidTr="00AC2B05">
        <w:tc>
          <w:tcPr>
            <w:tcW w:w="1237" w:type="dxa"/>
          </w:tcPr>
          <w:p w14:paraId="33E0546F" w14:textId="77777777" w:rsidR="006236B1" w:rsidRDefault="006236B1" w:rsidP="00AC2B05">
            <w:pPr>
              <w:jc w:val="right"/>
              <w:rPr>
                <w:rFonts w:ascii="Calibri" w:hAnsi="Calibri" w:cs="Calibri"/>
                <w:b/>
                <w:sz w:val="22"/>
                <w:szCs w:val="22"/>
              </w:rPr>
            </w:pPr>
          </w:p>
          <w:p w14:paraId="6137B8BE" w14:textId="3D88603A" w:rsidR="00206B8E" w:rsidRDefault="006236B1" w:rsidP="00AC2B05">
            <w:pPr>
              <w:jc w:val="right"/>
              <w:rPr>
                <w:rFonts w:ascii="Calibri" w:hAnsi="Calibri" w:cs="Calibri"/>
                <w:b/>
                <w:sz w:val="22"/>
                <w:szCs w:val="22"/>
              </w:rPr>
            </w:pPr>
            <w:r>
              <w:rPr>
                <w:rFonts w:ascii="Calibri" w:hAnsi="Calibri" w:cs="Calibri"/>
                <w:b/>
                <w:sz w:val="22"/>
                <w:szCs w:val="22"/>
              </w:rPr>
              <w:t>4</w:t>
            </w:r>
            <w:r w:rsidR="00206B8E">
              <w:rPr>
                <w:rFonts w:ascii="Calibri" w:hAnsi="Calibri" w:cs="Calibri"/>
                <w:b/>
                <w:sz w:val="22"/>
                <w:szCs w:val="22"/>
              </w:rPr>
              <w:t>.</w:t>
            </w:r>
          </w:p>
        </w:tc>
        <w:tc>
          <w:tcPr>
            <w:tcW w:w="5840" w:type="dxa"/>
            <w:vAlign w:val="center"/>
          </w:tcPr>
          <w:p w14:paraId="31B73D72" w14:textId="7AB83E84" w:rsidR="00206B8E" w:rsidRPr="005A663B" w:rsidRDefault="00BA1A01" w:rsidP="00AC2B05">
            <w:pPr>
              <w:jc w:val="both"/>
              <w:rPr>
                <w:rFonts w:ascii="Calibri" w:hAnsi="Calibri" w:cs="Calibri"/>
                <w:sz w:val="22"/>
                <w:szCs w:val="22"/>
              </w:rPr>
            </w:pPr>
            <w:r w:rsidRPr="00BA1A01">
              <w:rPr>
                <w:rFonts w:ascii="Calibri" w:hAnsi="Calibri" w:cs="Calibri"/>
                <w:sz w:val="22"/>
                <w:szCs w:val="22"/>
              </w:rPr>
              <w:t xml:space="preserve">Önkormányzat működéséhez kapcsolódó, jogszabályon alapuló kiadások, egyéb kiadások </w:t>
            </w:r>
            <w:r>
              <w:rPr>
                <w:rFonts w:ascii="Calibri" w:hAnsi="Calibri" w:cs="Calibri"/>
                <w:sz w:val="22"/>
                <w:szCs w:val="22"/>
              </w:rPr>
              <w:t>–</w:t>
            </w:r>
            <w:r w:rsidRPr="00BA1A01">
              <w:rPr>
                <w:rFonts w:ascii="Calibri" w:hAnsi="Calibri" w:cs="Calibri"/>
                <w:sz w:val="22"/>
                <w:szCs w:val="22"/>
              </w:rPr>
              <w:t xml:space="preserve"> </w:t>
            </w:r>
            <w:r>
              <w:rPr>
                <w:rFonts w:ascii="Calibri" w:hAnsi="Calibri" w:cs="Calibri"/>
                <w:sz w:val="22"/>
                <w:szCs w:val="22"/>
              </w:rPr>
              <w:t>vagyongazdálkodási kiadások</w:t>
            </w:r>
          </w:p>
        </w:tc>
        <w:tc>
          <w:tcPr>
            <w:tcW w:w="2387" w:type="dxa"/>
            <w:vAlign w:val="center"/>
          </w:tcPr>
          <w:p w14:paraId="74DA1089" w14:textId="77777777" w:rsidR="00206B8E" w:rsidRDefault="00206B8E" w:rsidP="00AC2B05">
            <w:pPr>
              <w:jc w:val="right"/>
              <w:rPr>
                <w:rFonts w:ascii="Calibri" w:hAnsi="Calibri" w:cs="Calibri"/>
                <w:sz w:val="22"/>
                <w:szCs w:val="22"/>
              </w:rPr>
            </w:pPr>
          </w:p>
          <w:p w14:paraId="5DBD1D59" w14:textId="489D410E" w:rsidR="00BA1A01" w:rsidRDefault="00BA1A01" w:rsidP="00AC2B05">
            <w:pPr>
              <w:jc w:val="right"/>
              <w:rPr>
                <w:rFonts w:ascii="Calibri" w:hAnsi="Calibri" w:cs="Calibri"/>
                <w:sz w:val="22"/>
                <w:szCs w:val="22"/>
              </w:rPr>
            </w:pPr>
            <w:r>
              <w:rPr>
                <w:rFonts w:ascii="Calibri" w:hAnsi="Calibri" w:cs="Calibri"/>
                <w:sz w:val="22"/>
                <w:szCs w:val="22"/>
              </w:rPr>
              <w:t>1.500</w:t>
            </w:r>
          </w:p>
        </w:tc>
      </w:tr>
      <w:tr w:rsidR="00206B8E" w:rsidRPr="00F17BE7" w14:paraId="3B92EAD2" w14:textId="77777777" w:rsidTr="00AC2B05">
        <w:tc>
          <w:tcPr>
            <w:tcW w:w="1237" w:type="dxa"/>
          </w:tcPr>
          <w:p w14:paraId="3267B57A" w14:textId="2AB2F339" w:rsidR="00206B8E" w:rsidRPr="005E2762" w:rsidRDefault="006236B1" w:rsidP="00AC2B05">
            <w:pPr>
              <w:jc w:val="right"/>
              <w:rPr>
                <w:rFonts w:ascii="Calibri" w:hAnsi="Calibri" w:cs="Calibri"/>
                <w:b/>
                <w:sz w:val="22"/>
                <w:szCs w:val="22"/>
              </w:rPr>
            </w:pPr>
            <w:r>
              <w:rPr>
                <w:rFonts w:ascii="Calibri" w:hAnsi="Calibri" w:cs="Calibri"/>
                <w:b/>
                <w:sz w:val="22"/>
                <w:szCs w:val="22"/>
              </w:rPr>
              <w:t>5</w:t>
            </w:r>
            <w:r w:rsidR="00206B8E">
              <w:rPr>
                <w:rFonts w:ascii="Calibri" w:hAnsi="Calibri" w:cs="Calibri"/>
                <w:b/>
                <w:sz w:val="22"/>
                <w:szCs w:val="22"/>
              </w:rPr>
              <w:t>.</w:t>
            </w:r>
          </w:p>
        </w:tc>
        <w:tc>
          <w:tcPr>
            <w:tcW w:w="5840" w:type="dxa"/>
            <w:vAlign w:val="center"/>
          </w:tcPr>
          <w:p w14:paraId="4FA9CAA8" w14:textId="76A4CDE1" w:rsidR="00206B8E" w:rsidRDefault="00BA1A01" w:rsidP="00AC2B05">
            <w:pPr>
              <w:jc w:val="both"/>
              <w:rPr>
                <w:rFonts w:ascii="Calibri" w:hAnsi="Calibri" w:cs="Calibri"/>
                <w:sz w:val="22"/>
                <w:szCs w:val="22"/>
              </w:rPr>
            </w:pPr>
            <w:r w:rsidRPr="00BA1A01">
              <w:rPr>
                <w:rFonts w:ascii="Calibri" w:hAnsi="Calibri" w:cs="Calibri"/>
                <w:sz w:val="22"/>
                <w:szCs w:val="22"/>
              </w:rPr>
              <w:t>Szombathelyi Szabadidősport rendezvények</w:t>
            </w:r>
          </w:p>
        </w:tc>
        <w:tc>
          <w:tcPr>
            <w:tcW w:w="2387" w:type="dxa"/>
            <w:vAlign w:val="center"/>
          </w:tcPr>
          <w:p w14:paraId="3FD077DB" w14:textId="1F38A90F" w:rsidR="00206B8E" w:rsidRPr="005E2762" w:rsidRDefault="00BA1A01" w:rsidP="00AC2B05">
            <w:pPr>
              <w:jc w:val="right"/>
              <w:rPr>
                <w:rFonts w:ascii="Calibri" w:hAnsi="Calibri" w:cs="Calibri"/>
                <w:sz w:val="22"/>
                <w:szCs w:val="22"/>
              </w:rPr>
            </w:pPr>
            <w:r>
              <w:rPr>
                <w:rFonts w:ascii="Calibri" w:hAnsi="Calibri" w:cs="Calibri"/>
                <w:sz w:val="22"/>
                <w:szCs w:val="22"/>
              </w:rPr>
              <w:t>6.500</w:t>
            </w:r>
          </w:p>
        </w:tc>
      </w:tr>
      <w:tr w:rsidR="00241987" w:rsidRPr="00F17BE7" w14:paraId="05EECC5F" w14:textId="77777777" w:rsidTr="00AC2B05">
        <w:tc>
          <w:tcPr>
            <w:tcW w:w="1237" w:type="dxa"/>
          </w:tcPr>
          <w:p w14:paraId="79414EB3" w14:textId="0E569AAA" w:rsidR="00241987" w:rsidRDefault="006236B1" w:rsidP="00AC2B05">
            <w:pPr>
              <w:jc w:val="right"/>
              <w:rPr>
                <w:rFonts w:ascii="Calibri" w:hAnsi="Calibri" w:cs="Calibri"/>
                <w:b/>
                <w:sz w:val="22"/>
                <w:szCs w:val="22"/>
              </w:rPr>
            </w:pPr>
            <w:r>
              <w:rPr>
                <w:rFonts w:ascii="Calibri" w:hAnsi="Calibri" w:cs="Calibri"/>
                <w:b/>
                <w:sz w:val="22"/>
                <w:szCs w:val="22"/>
              </w:rPr>
              <w:t>6</w:t>
            </w:r>
            <w:r w:rsidR="00241987">
              <w:rPr>
                <w:rFonts w:ascii="Calibri" w:hAnsi="Calibri" w:cs="Calibri"/>
                <w:b/>
                <w:sz w:val="22"/>
                <w:szCs w:val="22"/>
              </w:rPr>
              <w:t>.</w:t>
            </w:r>
          </w:p>
        </w:tc>
        <w:tc>
          <w:tcPr>
            <w:tcW w:w="5840" w:type="dxa"/>
            <w:vAlign w:val="center"/>
          </w:tcPr>
          <w:p w14:paraId="597531D8" w14:textId="133D65A0" w:rsidR="00241987" w:rsidRPr="00BA1A01" w:rsidRDefault="00241987" w:rsidP="00AC2B05">
            <w:pPr>
              <w:jc w:val="both"/>
              <w:rPr>
                <w:rFonts w:ascii="Calibri" w:hAnsi="Calibri" w:cs="Calibri"/>
                <w:sz w:val="22"/>
                <w:szCs w:val="22"/>
              </w:rPr>
            </w:pPr>
            <w:r w:rsidRPr="00241987">
              <w:rPr>
                <w:rFonts w:ascii="Calibri" w:hAnsi="Calibri" w:cs="Calibri"/>
                <w:sz w:val="22"/>
                <w:szCs w:val="22"/>
              </w:rPr>
              <w:t>Szombathelypont működtetés</w:t>
            </w:r>
          </w:p>
        </w:tc>
        <w:tc>
          <w:tcPr>
            <w:tcW w:w="2387" w:type="dxa"/>
            <w:vAlign w:val="center"/>
          </w:tcPr>
          <w:p w14:paraId="00061F63" w14:textId="4CE85B4A" w:rsidR="00241987" w:rsidRDefault="00241987" w:rsidP="00AC2B05">
            <w:pPr>
              <w:jc w:val="right"/>
              <w:rPr>
                <w:rFonts w:ascii="Calibri" w:hAnsi="Calibri" w:cs="Calibri"/>
                <w:sz w:val="22"/>
                <w:szCs w:val="22"/>
              </w:rPr>
            </w:pPr>
            <w:r>
              <w:rPr>
                <w:rFonts w:ascii="Calibri" w:hAnsi="Calibri" w:cs="Calibri"/>
                <w:sz w:val="22"/>
                <w:szCs w:val="22"/>
              </w:rPr>
              <w:t>1.000</w:t>
            </w:r>
          </w:p>
        </w:tc>
      </w:tr>
      <w:tr w:rsidR="00206B8E" w:rsidRPr="00F17BE7" w14:paraId="07FB78A3" w14:textId="77777777" w:rsidTr="00AC2B05">
        <w:tc>
          <w:tcPr>
            <w:tcW w:w="1237" w:type="dxa"/>
          </w:tcPr>
          <w:p w14:paraId="21CD0A2A" w14:textId="77777777" w:rsidR="00206B8E" w:rsidRPr="005E2762" w:rsidRDefault="00206B8E" w:rsidP="00AC2B05">
            <w:pPr>
              <w:jc w:val="both"/>
              <w:rPr>
                <w:rFonts w:ascii="Calibri" w:hAnsi="Calibri" w:cs="Calibri"/>
                <w:b/>
                <w:sz w:val="22"/>
                <w:szCs w:val="22"/>
              </w:rPr>
            </w:pPr>
          </w:p>
        </w:tc>
        <w:tc>
          <w:tcPr>
            <w:tcW w:w="5840" w:type="dxa"/>
          </w:tcPr>
          <w:p w14:paraId="520BB530" w14:textId="77777777" w:rsidR="00206B8E" w:rsidRPr="005E2762" w:rsidRDefault="00206B8E" w:rsidP="00AC2B05">
            <w:pPr>
              <w:jc w:val="both"/>
              <w:rPr>
                <w:rFonts w:ascii="Calibri" w:hAnsi="Calibri" w:cs="Calibri"/>
                <w:b/>
                <w:sz w:val="22"/>
                <w:szCs w:val="22"/>
              </w:rPr>
            </w:pPr>
            <w:r>
              <w:rPr>
                <w:rFonts w:ascii="Calibri" w:hAnsi="Calibri" w:cs="Calibri"/>
                <w:b/>
                <w:sz w:val="22"/>
                <w:szCs w:val="22"/>
              </w:rPr>
              <w:t>ÖSSZESEN</w:t>
            </w:r>
          </w:p>
        </w:tc>
        <w:tc>
          <w:tcPr>
            <w:tcW w:w="2387" w:type="dxa"/>
          </w:tcPr>
          <w:p w14:paraId="2632DAAA" w14:textId="6EB947E7" w:rsidR="00206B8E" w:rsidRPr="00947D5F" w:rsidRDefault="006236B1" w:rsidP="00AC2B05">
            <w:pPr>
              <w:ind w:left="720"/>
              <w:jc w:val="right"/>
              <w:rPr>
                <w:rFonts w:ascii="Calibri" w:hAnsi="Calibri" w:cs="Calibri"/>
                <w:b/>
                <w:sz w:val="22"/>
                <w:szCs w:val="22"/>
              </w:rPr>
            </w:pPr>
            <w:r>
              <w:rPr>
                <w:rFonts w:ascii="Calibri" w:hAnsi="Calibri" w:cs="Calibri"/>
                <w:b/>
                <w:sz w:val="22"/>
                <w:szCs w:val="22"/>
              </w:rPr>
              <w:t>44.163</w:t>
            </w:r>
          </w:p>
        </w:tc>
      </w:tr>
      <w:bookmarkEnd w:id="2"/>
    </w:tbl>
    <w:p w14:paraId="554FC6A0" w14:textId="77777777" w:rsidR="00206B8E" w:rsidRDefault="00206B8E" w:rsidP="00206B8E">
      <w:pPr>
        <w:keepNext/>
        <w:ind w:left="709" w:hanging="283"/>
        <w:jc w:val="both"/>
        <w:outlineLvl w:val="7"/>
        <w:rPr>
          <w:rFonts w:ascii="Calibri" w:hAnsi="Calibri" w:cs="Calibri"/>
          <w:b/>
          <w:i/>
          <w:sz w:val="22"/>
          <w:szCs w:val="22"/>
        </w:rPr>
      </w:pPr>
    </w:p>
    <w:p w14:paraId="7083D7EA" w14:textId="514E7D0F" w:rsidR="00206B8E" w:rsidRPr="00947D5F" w:rsidRDefault="00206B8E" w:rsidP="00206B8E">
      <w:pPr>
        <w:keepNext/>
        <w:ind w:left="709" w:hanging="283"/>
        <w:jc w:val="both"/>
        <w:outlineLvl w:val="7"/>
        <w:rPr>
          <w:rFonts w:ascii="Calibri" w:hAnsi="Calibri" w:cs="Calibri"/>
          <w:b/>
          <w:i/>
          <w:sz w:val="22"/>
          <w:szCs w:val="22"/>
          <w:u w:val="single"/>
        </w:rPr>
      </w:pPr>
      <w:r>
        <w:rPr>
          <w:rFonts w:ascii="Calibri" w:hAnsi="Calibri" w:cs="Calibri"/>
          <w:b/>
          <w:i/>
          <w:sz w:val="22"/>
          <w:szCs w:val="22"/>
        </w:rPr>
        <w:t>III</w:t>
      </w:r>
      <w:r w:rsidRPr="00947D5F">
        <w:rPr>
          <w:rFonts w:ascii="Calibri" w:hAnsi="Calibri" w:cs="Calibri"/>
          <w:b/>
          <w:i/>
          <w:sz w:val="22"/>
          <w:szCs w:val="22"/>
        </w:rPr>
        <w:t>.</w:t>
      </w:r>
      <w:r>
        <w:rPr>
          <w:rFonts w:ascii="Calibri" w:hAnsi="Calibri" w:cs="Calibri"/>
          <w:b/>
          <w:i/>
          <w:sz w:val="22"/>
          <w:szCs w:val="22"/>
        </w:rPr>
        <w:t xml:space="preserve"> </w:t>
      </w:r>
      <w:r w:rsidRPr="00947D5F">
        <w:rPr>
          <w:rFonts w:ascii="Calibri" w:hAnsi="Calibri" w:cs="Calibri"/>
          <w:b/>
          <w:i/>
          <w:sz w:val="22"/>
          <w:szCs w:val="22"/>
          <w:u w:val="single"/>
        </w:rPr>
        <w:t>Közgyűlési döntés</w:t>
      </w:r>
      <w:r>
        <w:rPr>
          <w:rFonts w:ascii="Calibri" w:hAnsi="Calibri" w:cs="Calibri"/>
          <w:b/>
          <w:i/>
          <w:sz w:val="22"/>
          <w:szCs w:val="22"/>
          <w:u w:val="single"/>
        </w:rPr>
        <w:t>t igénylő</w:t>
      </w:r>
      <w:r w:rsidRPr="00947D5F">
        <w:rPr>
          <w:rFonts w:ascii="Calibri" w:hAnsi="Calibri" w:cs="Calibri"/>
          <w:b/>
          <w:i/>
          <w:sz w:val="22"/>
          <w:szCs w:val="22"/>
          <w:u w:val="single"/>
        </w:rPr>
        <w:t xml:space="preserve"> többletki</w:t>
      </w:r>
      <w:r>
        <w:rPr>
          <w:rFonts w:ascii="Calibri" w:hAnsi="Calibri" w:cs="Calibri"/>
          <w:b/>
          <w:i/>
          <w:sz w:val="22"/>
          <w:szCs w:val="22"/>
          <w:u w:val="single"/>
        </w:rPr>
        <w:t xml:space="preserve">adások </w:t>
      </w:r>
      <w:r w:rsidRPr="00947D5F">
        <w:rPr>
          <w:rFonts w:ascii="Calibri" w:hAnsi="Calibri" w:cs="Calibri"/>
          <w:b/>
          <w:i/>
          <w:sz w:val="22"/>
          <w:szCs w:val="22"/>
          <w:u w:val="single"/>
        </w:rPr>
        <w:t>egyenlege</w:t>
      </w:r>
      <w:r>
        <w:rPr>
          <w:rFonts w:ascii="Calibri" w:hAnsi="Calibri" w:cs="Calibri"/>
          <w:b/>
          <w:i/>
          <w:sz w:val="22"/>
          <w:szCs w:val="22"/>
          <w:u w:val="single"/>
        </w:rPr>
        <w:t>:</w:t>
      </w:r>
      <w:r w:rsidRPr="00947D5F">
        <w:rPr>
          <w:rFonts w:ascii="Calibri" w:hAnsi="Calibri" w:cs="Calibri"/>
          <w:b/>
          <w:i/>
          <w:sz w:val="22"/>
          <w:szCs w:val="22"/>
          <w:u w:val="single"/>
        </w:rPr>
        <w:t xml:space="preserve">  </w:t>
      </w:r>
      <w:r w:rsidR="00BA1A01">
        <w:rPr>
          <w:rFonts w:ascii="Calibri" w:hAnsi="Calibri" w:cs="Calibri"/>
          <w:b/>
          <w:i/>
          <w:sz w:val="22"/>
          <w:szCs w:val="22"/>
          <w:u w:val="single"/>
        </w:rPr>
        <w:t>-</w:t>
      </w:r>
      <w:r w:rsidR="006236B1">
        <w:rPr>
          <w:rFonts w:ascii="Calibri" w:hAnsi="Calibri" w:cs="Calibri"/>
          <w:b/>
          <w:i/>
          <w:sz w:val="22"/>
          <w:szCs w:val="22"/>
          <w:u w:val="single"/>
        </w:rPr>
        <w:t>44</w:t>
      </w:r>
      <w:r w:rsidR="00BA1A01" w:rsidRPr="00BA1A01">
        <w:rPr>
          <w:rFonts w:ascii="Calibri" w:hAnsi="Calibri" w:cs="Calibri"/>
          <w:b/>
          <w:i/>
          <w:sz w:val="22"/>
          <w:szCs w:val="22"/>
          <w:u w:val="single"/>
        </w:rPr>
        <w:t>.163</w:t>
      </w:r>
      <w:r w:rsidRPr="00BA1A01">
        <w:rPr>
          <w:rFonts w:ascii="Calibri" w:hAnsi="Calibri" w:cs="Calibri"/>
          <w:b/>
          <w:i/>
          <w:sz w:val="22"/>
          <w:szCs w:val="22"/>
          <w:u w:val="single"/>
        </w:rPr>
        <w:t xml:space="preserve"> eFt</w:t>
      </w:r>
    </w:p>
    <w:p w14:paraId="5A02492C" w14:textId="77777777" w:rsidR="002D0EC0" w:rsidRDefault="002D0EC0" w:rsidP="00500B0C">
      <w:pPr>
        <w:ind w:left="1710"/>
        <w:rPr>
          <w:rFonts w:ascii="Calibri" w:hAnsi="Calibri" w:cs="Calibri"/>
          <w:b/>
          <w:i/>
          <w:sz w:val="22"/>
          <w:szCs w:val="22"/>
          <w:u w:val="single"/>
        </w:rPr>
      </w:pPr>
    </w:p>
    <w:p w14:paraId="55EB1EE2" w14:textId="77777777" w:rsidR="00354644" w:rsidRDefault="00354644" w:rsidP="00947D5F">
      <w:pPr>
        <w:rPr>
          <w:rFonts w:ascii="Calibri" w:hAnsi="Calibri" w:cs="Calibri"/>
          <w:b/>
          <w:i/>
          <w:sz w:val="22"/>
          <w:szCs w:val="22"/>
          <w:u w:val="single"/>
        </w:rPr>
      </w:pPr>
    </w:p>
    <w:p w14:paraId="43EDE9A8" w14:textId="55DE90FA" w:rsidR="00500B0C" w:rsidRDefault="00500B0C" w:rsidP="00AE7DB8">
      <w:pPr>
        <w:keepNext/>
        <w:numPr>
          <w:ilvl w:val="0"/>
          <w:numId w:val="7"/>
        </w:numPr>
        <w:ind w:left="709" w:hanging="349"/>
        <w:jc w:val="both"/>
        <w:outlineLvl w:val="7"/>
        <w:rPr>
          <w:rFonts w:ascii="Calibri" w:hAnsi="Calibri" w:cs="Calibri"/>
          <w:b/>
          <w:sz w:val="22"/>
          <w:szCs w:val="22"/>
        </w:rPr>
      </w:pPr>
      <w:r w:rsidRPr="00F14DC1">
        <w:rPr>
          <w:rFonts w:ascii="Calibri" w:hAnsi="Calibri" w:cs="Calibri"/>
          <w:b/>
          <w:sz w:val="22"/>
          <w:szCs w:val="22"/>
        </w:rPr>
        <w:t xml:space="preserve"> </w:t>
      </w:r>
      <w:r w:rsidR="000F512B" w:rsidRPr="00F14DC1">
        <w:rPr>
          <w:rFonts w:ascii="Calibri" w:hAnsi="Calibri" w:cs="Calibri"/>
          <w:b/>
          <w:sz w:val="22"/>
          <w:szCs w:val="22"/>
        </w:rPr>
        <w:t>Pénzügyi egyensúly</w:t>
      </w:r>
    </w:p>
    <w:p w14:paraId="5702B8FF" w14:textId="77777777" w:rsidR="00354644" w:rsidRPr="00F14DC1" w:rsidRDefault="00354644" w:rsidP="00354644">
      <w:pPr>
        <w:keepNext/>
        <w:ind w:left="709"/>
        <w:jc w:val="both"/>
        <w:outlineLvl w:val="7"/>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2D6642" w:rsidRPr="00F14DC1" w14:paraId="6B42E4EC" w14:textId="77777777" w:rsidTr="00FA7156">
        <w:tc>
          <w:tcPr>
            <w:tcW w:w="4546" w:type="dxa"/>
          </w:tcPr>
          <w:p w14:paraId="54D01978" w14:textId="77777777" w:rsidR="002D6642" w:rsidRPr="00F14DC1" w:rsidRDefault="002D6642" w:rsidP="001A1991">
            <w:pPr>
              <w:jc w:val="center"/>
              <w:rPr>
                <w:rFonts w:ascii="Calibri" w:hAnsi="Calibri" w:cs="Calibri"/>
                <w:b/>
                <w:sz w:val="22"/>
                <w:szCs w:val="22"/>
              </w:rPr>
            </w:pPr>
            <w:r w:rsidRPr="00F14DC1">
              <w:rPr>
                <w:rFonts w:ascii="Calibri" w:hAnsi="Calibri" w:cs="Calibri"/>
                <w:b/>
                <w:sz w:val="22"/>
                <w:szCs w:val="22"/>
              </w:rPr>
              <w:t>Megnevezés</w:t>
            </w:r>
          </w:p>
        </w:tc>
        <w:tc>
          <w:tcPr>
            <w:tcW w:w="4516" w:type="dxa"/>
          </w:tcPr>
          <w:p w14:paraId="4E6DF453" w14:textId="77777777" w:rsidR="002D6642" w:rsidRPr="00F14DC1" w:rsidRDefault="002D6642" w:rsidP="00B23F31">
            <w:pPr>
              <w:jc w:val="center"/>
              <w:rPr>
                <w:rFonts w:ascii="Calibri" w:hAnsi="Calibri" w:cs="Calibri"/>
                <w:b/>
                <w:sz w:val="22"/>
                <w:szCs w:val="22"/>
              </w:rPr>
            </w:pPr>
            <w:r w:rsidRPr="00F14DC1">
              <w:rPr>
                <w:rFonts w:ascii="Calibri" w:hAnsi="Calibri" w:cs="Calibri"/>
                <w:b/>
                <w:sz w:val="22"/>
                <w:szCs w:val="22"/>
              </w:rPr>
              <w:t>Összeg (ezer forintban)</w:t>
            </w:r>
            <w:r w:rsidR="00747F5D" w:rsidRPr="00F14DC1">
              <w:rPr>
                <w:rFonts w:ascii="Calibri" w:hAnsi="Calibri" w:cs="Calibri"/>
                <w:b/>
                <w:sz w:val="22"/>
                <w:szCs w:val="22"/>
              </w:rPr>
              <w:t xml:space="preserve"> </w:t>
            </w:r>
          </w:p>
        </w:tc>
      </w:tr>
      <w:tr w:rsidR="0072162D" w:rsidRPr="00F14DC1" w14:paraId="421E8320" w14:textId="77777777" w:rsidTr="00FA7156">
        <w:tc>
          <w:tcPr>
            <w:tcW w:w="4546" w:type="dxa"/>
          </w:tcPr>
          <w:p w14:paraId="7ABA79B1" w14:textId="284A4E10" w:rsidR="0072162D"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Az utólagos tudomásul vételt jelentő tételek</w:t>
            </w:r>
          </w:p>
        </w:tc>
        <w:tc>
          <w:tcPr>
            <w:tcW w:w="4516" w:type="dxa"/>
          </w:tcPr>
          <w:p w14:paraId="7044DDAF" w14:textId="77777777" w:rsidR="003C3DBD" w:rsidRDefault="003C3DBD" w:rsidP="000F512B">
            <w:pPr>
              <w:jc w:val="right"/>
              <w:rPr>
                <w:rFonts w:ascii="Calibri" w:hAnsi="Calibri" w:cs="Calibri"/>
                <w:sz w:val="22"/>
                <w:szCs w:val="22"/>
              </w:rPr>
            </w:pPr>
          </w:p>
          <w:p w14:paraId="225215E4" w14:textId="453752E7" w:rsidR="0049436A" w:rsidRPr="00F14DC1" w:rsidRDefault="0049436A" w:rsidP="000F512B">
            <w:pPr>
              <w:jc w:val="right"/>
              <w:rPr>
                <w:rFonts w:ascii="Calibri" w:hAnsi="Calibri" w:cs="Calibri"/>
                <w:sz w:val="22"/>
                <w:szCs w:val="22"/>
              </w:rPr>
            </w:pPr>
            <w:r>
              <w:rPr>
                <w:rFonts w:ascii="Calibri" w:hAnsi="Calibri" w:cs="Calibri"/>
                <w:sz w:val="22"/>
                <w:szCs w:val="22"/>
              </w:rPr>
              <w:t>+ 146.585</w:t>
            </w:r>
          </w:p>
        </w:tc>
      </w:tr>
      <w:tr w:rsidR="002D6642" w:rsidRPr="00F14DC1" w14:paraId="133D8733" w14:textId="77777777" w:rsidTr="00FA7156">
        <w:tc>
          <w:tcPr>
            <w:tcW w:w="4546" w:type="dxa"/>
          </w:tcPr>
          <w:p w14:paraId="27993E6A" w14:textId="51C675A0" w:rsidR="002D6642" w:rsidRPr="00242F39" w:rsidRDefault="0072162D" w:rsidP="00242F39">
            <w:pPr>
              <w:pStyle w:val="Listaszerbekezds"/>
              <w:numPr>
                <w:ilvl w:val="0"/>
                <w:numId w:val="12"/>
              </w:numPr>
              <w:jc w:val="both"/>
              <w:rPr>
                <w:rFonts w:ascii="Calibri" w:hAnsi="Calibri" w:cs="Calibri"/>
                <w:sz w:val="22"/>
                <w:szCs w:val="22"/>
              </w:rPr>
            </w:pPr>
            <w:r w:rsidRPr="00242F39">
              <w:rPr>
                <w:rFonts w:ascii="Calibri" w:hAnsi="Calibri" w:cs="Calibri"/>
                <w:sz w:val="22"/>
                <w:szCs w:val="22"/>
              </w:rPr>
              <w:t>A közgyűlési határozatok</w:t>
            </w:r>
            <w:r w:rsidR="00891ED0">
              <w:rPr>
                <w:rFonts w:ascii="Calibri" w:hAnsi="Calibri" w:cs="Calibri"/>
                <w:sz w:val="22"/>
                <w:szCs w:val="22"/>
              </w:rPr>
              <w:t xml:space="preserve"> </w:t>
            </w:r>
            <w:r w:rsidRPr="00242F39">
              <w:rPr>
                <w:rFonts w:ascii="Calibri" w:hAnsi="Calibri" w:cs="Calibri"/>
                <w:sz w:val="22"/>
                <w:szCs w:val="22"/>
              </w:rPr>
              <w:t xml:space="preserve">alapján biztosított tételek </w:t>
            </w:r>
          </w:p>
        </w:tc>
        <w:tc>
          <w:tcPr>
            <w:tcW w:w="4516" w:type="dxa"/>
          </w:tcPr>
          <w:p w14:paraId="1F4365AD" w14:textId="77777777" w:rsidR="003C3DBD" w:rsidRDefault="003C3DBD" w:rsidP="00546878">
            <w:pPr>
              <w:jc w:val="right"/>
              <w:rPr>
                <w:rFonts w:ascii="Calibri" w:hAnsi="Calibri" w:cs="Calibri"/>
                <w:sz w:val="22"/>
                <w:szCs w:val="22"/>
              </w:rPr>
            </w:pPr>
          </w:p>
          <w:p w14:paraId="31B8A277" w14:textId="616F3E09" w:rsidR="003C3DBD" w:rsidRPr="00F14DC1" w:rsidRDefault="0049436A" w:rsidP="003C3DBD">
            <w:pPr>
              <w:jc w:val="right"/>
              <w:rPr>
                <w:rFonts w:ascii="Calibri" w:hAnsi="Calibri" w:cs="Calibri"/>
                <w:sz w:val="22"/>
                <w:szCs w:val="22"/>
              </w:rPr>
            </w:pPr>
            <w:r>
              <w:rPr>
                <w:rFonts w:ascii="Calibri" w:hAnsi="Calibri" w:cs="Calibri"/>
                <w:sz w:val="22"/>
                <w:szCs w:val="22"/>
              </w:rPr>
              <w:t>+ 118.810</w:t>
            </w:r>
          </w:p>
        </w:tc>
      </w:tr>
      <w:tr w:rsidR="00891ED0" w:rsidRPr="00F14DC1" w14:paraId="61B6F8D2" w14:textId="77777777" w:rsidTr="00FA7156">
        <w:tc>
          <w:tcPr>
            <w:tcW w:w="4546" w:type="dxa"/>
          </w:tcPr>
          <w:p w14:paraId="15706A1D" w14:textId="597B01DE" w:rsidR="00891ED0" w:rsidRPr="00242F39" w:rsidRDefault="00027ED3" w:rsidP="00027ED3">
            <w:pPr>
              <w:pStyle w:val="Listaszerbekezds"/>
              <w:numPr>
                <w:ilvl w:val="0"/>
                <w:numId w:val="12"/>
              </w:numPr>
              <w:rPr>
                <w:rFonts w:ascii="Calibri" w:hAnsi="Calibri" w:cs="Calibri"/>
                <w:sz w:val="22"/>
                <w:szCs w:val="22"/>
              </w:rPr>
            </w:pPr>
            <w:r w:rsidRPr="00027ED3">
              <w:rPr>
                <w:rFonts w:ascii="Calibri" w:hAnsi="Calibri" w:cs="Calibri"/>
                <w:sz w:val="22"/>
                <w:szCs w:val="22"/>
              </w:rPr>
              <w:t xml:space="preserve">Közgyűlési döntést igénylő többletkiadások  </w:t>
            </w:r>
          </w:p>
        </w:tc>
        <w:tc>
          <w:tcPr>
            <w:tcW w:w="4516" w:type="dxa"/>
          </w:tcPr>
          <w:p w14:paraId="6E8A581F" w14:textId="77777777" w:rsidR="00891ED0" w:rsidRDefault="00891ED0" w:rsidP="00546878">
            <w:pPr>
              <w:jc w:val="right"/>
              <w:rPr>
                <w:rFonts w:ascii="Calibri" w:hAnsi="Calibri" w:cs="Calibri"/>
                <w:sz w:val="22"/>
                <w:szCs w:val="22"/>
              </w:rPr>
            </w:pPr>
          </w:p>
          <w:p w14:paraId="14A38F23" w14:textId="7AFE1559" w:rsidR="00BA1A01" w:rsidRDefault="00BA1A01" w:rsidP="00546878">
            <w:pPr>
              <w:jc w:val="right"/>
              <w:rPr>
                <w:rFonts w:ascii="Calibri" w:hAnsi="Calibri" w:cs="Calibri"/>
                <w:sz w:val="22"/>
                <w:szCs w:val="22"/>
              </w:rPr>
            </w:pPr>
            <w:r>
              <w:rPr>
                <w:rFonts w:ascii="Calibri" w:hAnsi="Calibri" w:cs="Calibri"/>
                <w:sz w:val="22"/>
                <w:szCs w:val="22"/>
              </w:rPr>
              <w:t>-</w:t>
            </w:r>
            <w:r w:rsidR="006236B1">
              <w:rPr>
                <w:rFonts w:ascii="Calibri" w:hAnsi="Calibri" w:cs="Calibri"/>
                <w:sz w:val="22"/>
                <w:szCs w:val="22"/>
              </w:rPr>
              <w:t>44.163</w:t>
            </w:r>
          </w:p>
        </w:tc>
      </w:tr>
      <w:tr w:rsidR="002D6642" w:rsidRPr="00F14DC1" w14:paraId="01C116CF" w14:textId="77777777" w:rsidTr="00FA7156">
        <w:tc>
          <w:tcPr>
            <w:tcW w:w="4546" w:type="dxa"/>
          </w:tcPr>
          <w:p w14:paraId="083C8A03" w14:textId="77777777" w:rsidR="002D6642" w:rsidRPr="00F14DC1" w:rsidRDefault="002D6642" w:rsidP="001A1991">
            <w:pPr>
              <w:rPr>
                <w:rFonts w:ascii="Calibri" w:hAnsi="Calibri" w:cs="Calibri"/>
                <w:b/>
                <w:sz w:val="22"/>
                <w:szCs w:val="22"/>
              </w:rPr>
            </w:pPr>
            <w:r w:rsidRPr="00F14DC1">
              <w:rPr>
                <w:rFonts w:ascii="Calibri" w:hAnsi="Calibri" w:cs="Calibri"/>
                <w:b/>
                <w:sz w:val="22"/>
                <w:szCs w:val="22"/>
              </w:rPr>
              <w:t>Összesen</w:t>
            </w:r>
          </w:p>
        </w:tc>
        <w:tc>
          <w:tcPr>
            <w:tcW w:w="4516" w:type="dxa"/>
          </w:tcPr>
          <w:p w14:paraId="15874725" w14:textId="0E0B11E1" w:rsidR="002D6642" w:rsidRPr="00F14DC1" w:rsidRDefault="00BA1A01" w:rsidP="00A45DAB">
            <w:pPr>
              <w:jc w:val="right"/>
              <w:rPr>
                <w:rFonts w:ascii="Calibri" w:hAnsi="Calibri" w:cs="Calibri"/>
                <w:b/>
                <w:sz w:val="22"/>
                <w:szCs w:val="22"/>
              </w:rPr>
            </w:pPr>
            <w:r>
              <w:rPr>
                <w:rFonts w:ascii="Calibri" w:hAnsi="Calibri" w:cs="Calibri"/>
                <w:b/>
                <w:sz w:val="22"/>
                <w:szCs w:val="22"/>
              </w:rPr>
              <w:t>+2</w:t>
            </w:r>
            <w:r w:rsidR="006236B1">
              <w:rPr>
                <w:rFonts w:ascii="Calibri" w:hAnsi="Calibri" w:cs="Calibri"/>
                <w:b/>
                <w:sz w:val="22"/>
                <w:szCs w:val="22"/>
              </w:rPr>
              <w:t>21</w:t>
            </w:r>
            <w:r>
              <w:rPr>
                <w:rFonts w:ascii="Calibri" w:hAnsi="Calibri" w:cs="Calibri"/>
                <w:b/>
                <w:sz w:val="22"/>
                <w:szCs w:val="22"/>
              </w:rPr>
              <w:t>.232</w:t>
            </w:r>
          </w:p>
        </w:tc>
      </w:tr>
    </w:tbl>
    <w:p w14:paraId="4F5BFA95" w14:textId="77777777" w:rsidR="00B73E5E" w:rsidRPr="00B668F7" w:rsidRDefault="00B73E5E" w:rsidP="00B73E5E">
      <w:pPr>
        <w:rPr>
          <w:rFonts w:ascii="Calibri" w:hAnsi="Calibri" w:cs="Calibri"/>
          <w:b/>
          <w:color w:val="FF0000"/>
          <w:sz w:val="22"/>
          <w:szCs w:val="22"/>
        </w:rPr>
      </w:pPr>
    </w:p>
    <w:p w14:paraId="7AE96373" w14:textId="054AE2F7" w:rsidR="00354644" w:rsidRDefault="00B668F7" w:rsidP="00B668F7">
      <w:pPr>
        <w:jc w:val="both"/>
        <w:rPr>
          <w:rFonts w:ascii="Calibri" w:hAnsi="Calibri" w:cs="Calibri"/>
          <w:bCs/>
          <w:sz w:val="22"/>
          <w:szCs w:val="22"/>
        </w:rPr>
      </w:pPr>
      <w:r w:rsidRPr="00B668F7">
        <w:rPr>
          <w:rFonts w:ascii="Calibri" w:hAnsi="Calibri" w:cs="Calibri"/>
          <w:bCs/>
          <w:sz w:val="22"/>
          <w:szCs w:val="22"/>
        </w:rPr>
        <w:t xml:space="preserve">Jelen rendelet módosításban a forrás biztosítását igénylő tételek és a rendelkezésre álló szabad többlet források egyenlege </w:t>
      </w:r>
      <w:r w:rsidR="00BA1A01">
        <w:rPr>
          <w:rFonts w:ascii="Calibri" w:hAnsi="Calibri" w:cs="Calibri"/>
          <w:bCs/>
          <w:sz w:val="22"/>
          <w:szCs w:val="22"/>
        </w:rPr>
        <w:t>+ 2</w:t>
      </w:r>
      <w:r w:rsidR="006236B1">
        <w:rPr>
          <w:rFonts w:ascii="Calibri" w:hAnsi="Calibri" w:cs="Calibri"/>
          <w:bCs/>
          <w:sz w:val="22"/>
          <w:szCs w:val="22"/>
        </w:rPr>
        <w:t>21</w:t>
      </w:r>
      <w:r w:rsidR="00BA1A01">
        <w:rPr>
          <w:rFonts w:ascii="Calibri" w:hAnsi="Calibri" w:cs="Calibri"/>
          <w:bCs/>
          <w:sz w:val="22"/>
          <w:szCs w:val="22"/>
        </w:rPr>
        <w:t xml:space="preserve">.232 eFt. Ezen összeg tartalékba helyezésére került sor. </w:t>
      </w:r>
      <w:r w:rsidRPr="00B668F7">
        <w:rPr>
          <w:rFonts w:ascii="Calibri" w:hAnsi="Calibri" w:cs="Calibri"/>
          <w:bCs/>
          <w:sz w:val="22"/>
          <w:szCs w:val="22"/>
        </w:rPr>
        <w:t xml:space="preserve"> </w:t>
      </w:r>
    </w:p>
    <w:p w14:paraId="7DBBE04A" w14:textId="77777777" w:rsidR="009F43EF" w:rsidRDefault="009F43EF" w:rsidP="00B668F7">
      <w:pPr>
        <w:jc w:val="both"/>
        <w:rPr>
          <w:rFonts w:ascii="Calibri" w:hAnsi="Calibri" w:cs="Calibri"/>
          <w:bCs/>
          <w:sz w:val="22"/>
          <w:szCs w:val="22"/>
        </w:rPr>
      </w:pPr>
    </w:p>
    <w:p w14:paraId="7356100E" w14:textId="77777777" w:rsidR="009F43EF" w:rsidRDefault="009F43EF" w:rsidP="00B668F7">
      <w:pPr>
        <w:jc w:val="both"/>
        <w:rPr>
          <w:rFonts w:ascii="Calibri" w:hAnsi="Calibri" w:cs="Calibri"/>
          <w:bCs/>
          <w:sz w:val="22"/>
          <w:szCs w:val="22"/>
        </w:rPr>
      </w:pPr>
    </w:p>
    <w:p w14:paraId="31DE1966" w14:textId="77777777" w:rsidR="009F43EF" w:rsidRDefault="009F43EF" w:rsidP="00B668F7">
      <w:pPr>
        <w:jc w:val="both"/>
        <w:rPr>
          <w:rFonts w:ascii="Calibri" w:hAnsi="Calibri" w:cs="Calibri"/>
          <w:bCs/>
          <w:sz w:val="22"/>
          <w:szCs w:val="22"/>
        </w:rPr>
      </w:pPr>
    </w:p>
    <w:p w14:paraId="64DD654E" w14:textId="77777777" w:rsidR="009F43EF" w:rsidRDefault="009F43EF" w:rsidP="00B668F7">
      <w:pPr>
        <w:jc w:val="both"/>
        <w:rPr>
          <w:rFonts w:ascii="Calibri" w:hAnsi="Calibri" w:cs="Calibri"/>
          <w:bCs/>
          <w:sz w:val="22"/>
          <w:szCs w:val="22"/>
        </w:rPr>
      </w:pPr>
    </w:p>
    <w:p w14:paraId="1C31AD3B" w14:textId="77777777" w:rsidR="009F43EF" w:rsidRPr="00B668F7" w:rsidRDefault="009F43EF" w:rsidP="00B668F7">
      <w:pPr>
        <w:jc w:val="both"/>
        <w:rPr>
          <w:rFonts w:ascii="Calibri" w:hAnsi="Calibri" w:cs="Calibri"/>
          <w:bCs/>
          <w:sz w:val="22"/>
          <w:szCs w:val="22"/>
        </w:rPr>
      </w:pPr>
    </w:p>
    <w:p w14:paraId="63353479" w14:textId="77777777" w:rsidR="00354644" w:rsidRDefault="00354644" w:rsidP="00B73E5E">
      <w:pPr>
        <w:rPr>
          <w:rFonts w:ascii="Calibri" w:hAnsi="Calibri" w:cs="Calibri"/>
          <w:b/>
          <w:color w:val="FF0000"/>
          <w:sz w:val="22"/>
          <w:szCs w:val="22"/>
          <w:highlight w:val="yellow"/>
        </w:rPr>
      </w:pPr>
    </w:p>
    <w:p w14:paraId="6C4E2051" w14:textId="65EEDDF3" w:rsidR="00500B0C" w:rsidRPr="009F43EF" w:rsidRDefault="00B124A2" w:rsidP="009F43EF">
      <w:pPr>
        <w:pStyle w:val="Listaszerbekezds"/>
        <w:numPr>
          <w:ilvl w:val="0"/>
          <w:numId w:val="7"/>
        </w:numPr>
        <w:rPr>
          <w:rFonts w:ascii="Calibri" w:hAnsi="Calibri" w:cs="Calibri"/>
          <w:b/>
          <w:sz w:val="22"/>
          <w:szCs w:val="22"/>
        </w:rPr>
      </w:pPr>
      <w:r w:rsidRPr="009F43EF">
        <w:rPr>
          <w:rFonts w:ascii="Calibri" w:hAnsi="Calibri" w:cs="Calibri"/>
          <w:b/>
          <w:sz w:val="22"/>
          <w:szCs w:val="22"/>
        </w:rPr>
        <w:lastRenderedPageBreak/>
        <w:t>L</w:t>
      </w:r>
      <w:r w:rsidR="00500B0C" w:rsidRPr="009F43EF">
        <w:rPr>
          <w:rFonts w:ascii="Calibri" w:hAnsi="Calibri" w:cs="Calibri"/>
          <w:b/>
          <w:sz w:val="22"/>
          <w:szCs w:val="22"/>
        </w:rPr>
        <w:t>étszám előirányzat</w:t>
      </w:r>
    </w:p>
    <w:p w14:paraId="63BFB12F" w14:textId="77777777" w:rsidR="008441A8" w:rsidRDefault="008441A8" w:rsidP="008441A8">
      <w:pPr>
        <w:rPr>
          <w:rFonts w:asciiTheme="minorHAnsi" w:hAnsiTheme="minorHAnsi" w:cstheme="minorHAnsi"/>
          <w:sz w:val="22"/>
          <w:szCs w:val="22"/>
        </w:rPr>
      </w:pPr>
    </w:p>
    <w:p w14:paraId="79F89FBF" w14:textId="75E42470" w:rsidR="00AE2B77" w:rsidRPr="00AE2B77" w:rsidRDefault="00AE2B77" w:rsidP="00BA1A01">
      <w:pPr>
        <w:ind w:left="567"/>
        <w:jc w:val="both"/>
        <w:rPr>
          <w:rFonts w:asciiTheme="minorHAnsi" w:hAnsiTheme="minorHAnsi" w:cstheme="minorHAnsi"/>
          <w:sz w:val="22"/>
          <w:szCs w:val="22"/>
        </w:rPr>
      </w:pPr>
      <w:r w:rsidRPr="00AE2B77">
        <w:rPr>
          <w:rFonts w:asciiTheme="minorHAnsi" w:hAnsiTheme="minorHAnsi" w:cstheme="minorHAnsi"/>
          <w:sz w:val="22"/>
          <w:szCs w:val="22"/>
        </w:rPr>
        <w:t>Az államháztartásról szóló 2011. évi CXCV. törvény</w:t>
      </w:r>
      <w:r w:rsidR="0087022E">
        <w:rPr>
          <w:rFonts w:asciiTheme="minorHAnsi" w:hAnsiTheme="minorHAnsi" w:cstheme="minorHAnsi"/>
          <w:sz w:val="22"/>
          <w:szCs w:val="22"/>
        </w:rPr>
        <w:t xml:space="preserve"> 2025. év május havi módosítását követően az Áht.</w:t>
      </w:r>
      <w:r w:rsidRPr="00AE2B77">
        <w:rPr>
          <w:rFonts w:asciiTheme="minorHAnsi" w:hAnsiTheme="minorHAnsi" w:cstheme="minorHAnsi"/>
          <w:sz w:val="22"/>
          <w:szCs w:val="22"/>
        </w:rPr>
        <w:t xml:space="preserve"> 23. § (2) bekezdés</w:t>
      </w:r>
      <w:r w:rsidR="00BA1A01">
        <w:rPr>
          <w:rFonts w:asciiTheme="minorHAnsi" w:hAnsiTheme="minorHAnsi" w:cstheme="minorHAnsi"/>
          <w:sz w:val="22"/>
          <w:szCs w:val="22"/>
        </w:rPr>
        <w:t xml:space="preserve">ének </w:t>
      </w:r>
      <w:r w:rsidRPr="00AE2B77">
        <w:rPr>
          <w:rFonts w:asciiTheme="minorHAnsi" w:hAnsiTheme="minorHAnsi" w:cstheme="minorHAnsi"/>
          <w:sz w:val="22"/>
          <w:szCs w:val="22"/>
        </w:rPr>
        <w:t>j) pont</w:t>
      </w:r>
      <w:r w:rsidR="00BA1A01">
        <w:rPr>
          <w:rFonts w:asciiTheme="minorHAnsi" w:hAnsiTheme="minorHAnsi" w:cstheme="minorHAnsi"/>
          <w:sz w:val="22"/>
          <w:szCs w:val="22"/>
        </w:rPr>
        <w:t xml:space="preserve">ja a következőkről rendelkezik: </w:t>
      </w:r>
      <w:r w:rsidRPr="00AE2B77">
        <w:rPr>
          <w:rFonts w:asciiTheme="minorHAnsi" w:hAnsiTheme="minorHAnsi" w:cstheme="minorHAnsi"/>
          <w:sz w:val="22"/>
          <w:szCs w:val="22"/>
        </w:rPr>
        <w:t xml:space="preserve"> </w:t>
      </w:r>
    </w:p>
    <w:p w14:paraId="1993AB42" w14:textId="01C92B67" w:rsidR="00AE2B77" w:rsidRPr="008441A8" w:rsidRDefault="00BA1A01" w:rsidP="00BA1A01">
      <w:pPr>
        <w:ind w:left="567"/>
        <w:jc w:val="both"/>
        <w:rPr>
          <w:rFonts w:asciiTheme="minorHAnsi" w:hAnsiTheme="minorHAnsi" w:cstheme="minorHAnsi"/>
          <w:sz w:val="22"/>
          <w:szCs w:val="22"/>
        </w:rPr>
      </w:pPr>
      <w:r>
        <w:rPr>
          <w:rFonts w:asciiTheme="minorHAnsi" w:hAnsiTheme="minorHAnsi" w:cstheme="minorHAnsi"/>
          <w:sz w:val="22"/>
          <w:szCs w:val="22"/>
        </w:rPr>
        <w:t>„</w:t>
      </w:r>
      <w:r w:rsidR="00AE2B77" w:rsidRPr="008441A8">
        <w:rPr>
          <w:rFonts w:asciiTheme="minorHAnsi" w:hAnsiTheme="minorHAnsi" w:cstheme="minorHAnsi"/>
          <w:sz w:val="22"/>
          <w:szCs w:val="22"/>
        </w:rPr>
        <w:t>A helyi önkormányzat költségvetés</w:t>
      </w:r>
      <w:r w:rsidR="0087022E">
        <w:rPr>
          <w:rFonts w:asciiTheme="minorHAnsi" w:hAnsiTheme="minorHAnsi" w:cstheme="minorHAnsi"/>
          <w:sz w:val="22"/>
          <w:szCs w:val="22"/>
        </w:rPr>
        <w:t>e</w:t>
      </w:r>
      <w:r w:rsidR="00AE2B77" w:rsidRPr="008441A8">
        <w:rPr>
          <w:rFonts w:asciiTheme="minorHAnsi" w:hAnsiTheme="minorHAnsi" w:cstheme="minorHAnsi"/>
          <w:sz w:val="22"/>
          <w:szCs w:val="22"/>
        </w:rPr>
        <w:t xml:space="preserve"> tartalmazza</w:t>
      </w:r>
      <w:r>
        <w:rPr>
          <w:rFonts w:asciiTheme="minorHAnsi" w:hAnsiTheme="minorHAnsi" w:cstheme="minorHAnsi"/>
          <w:sz w:val="22"/>
          <w:szCs w:val="22"/>
        </w:rPr>
        <w:t>………</w:t>
      </w:r>
    </w:p>
    <w:p w14:paraId="511DBCF8" w14:textId="71CE4794" w:rsidR="00AE2B77" w:rsidRPr="008441A8" w:rsidRDefault="00AE2B77" w:rsidP="00BA1A01">
      <w:pPr>
        <w:ind w:left="567"/>
        <w:jc w:val="both"/>
        <w:rPr>
          <w:rFonts w:asciiTheme="minorHAnsi" w:hAnsiTheme="minorHAnsi" w:cstheme="minorHAnsi"/>
          <w:sz w:val="22"/>
          <w:szCs w:val="22"/>
        </w:rPr>
      </w:pPr>
      <w:r w:rsidRPr="008441A8">
        <w:rPr>
          <w:rFonts w:asciiTheme="minorHAnsi" w:hAnsiTheme="minorHAnsi" w:cstheme="minorHAnsi"/>
          <w:sz w:val="22"/>
          <w:szCs w:val="22"/>
        </w:rPr>
        <w:t>j)  a helyi önkormányzat és az általa alapított költségvetési szervek – önkormányzati szinten összesített és a helyi önkormányzat által irányított költségvetési szervek szerinti tételes megbontásban a – költségvetési évre vonatkozó, jogviszonyonkénti tervezett létszámadatait.”</w:t>
      </w:r>
    </w:p>
    <w:p w14:paraId="2BB9E699" w14:textId="77777777" w:rsidR="00AE2B77" w:rsidRPr="008441A8" w:rsidRDefault="00AE2B77" w:rsidP="00BA1A01">
      <w:pPr>
        <w:ind w:left="567"/>
        <w:jc w:val="both"/>
        <w:rPr>
          <w:rFonts w:asciiTheme="minorHAnsi" w:hAnsiTheme="minorHAnsi" w:cstheme="minorHAnsi"/>
          <w:sz w:val="22"/>
          <w:szCs w:val="22"/>
        </w:rPr>
      </w:pPr>
    </w:p>
    <w:p w14:paraId="41C8E927" w14:textId="1053C93C" w:rsidR="00AE2B77" w:rsidRPr="008441A8" w:rsidRDefault="00AE2B77" w:rsidP="00BA1A01">
      <w:pPr>
        <w:ind w:left="567"/>
        <w:jc w:val="both"/>
        <w:rPr>
          <w:rFonts w:asciiTheme="minorHAnsi" w:hAnsiTheme="minorHAnsi" w:cstheme="minorHAnsi"/>
          <w:sz w:val="22"/>
          <w:szCs w:val="22"/>
        </w:rPr>
      </w:pPr>
      <w:r w:rsidRPr="008441A8">
        <w:rPr>
          <w:rFonts w:asciiTheme="minorHAnsi" w:hAnsiTheme="minorHAnsi" w:cstheme="minorHAnsi"/>
          <w:sz w:val="22"/>
          <w:szCs w:val="22"/>
        </w:rPr>
        <w:t>Önkormányzatunk költségvetési rendelete eddig is tartalmazott létszám előirányzatokat függetlenül a jogszabályi rendelkezéstől, azonban jelen költségvetési rendelet módosításban az eddigi szakmai és intézmény üzemeltetési</w:t>
      </w:r>
      <w:r w:rsidR="0087022E">
        <w:rPr>
          <w:rFonts w:asciiTheme="minorHAnsi" w:hAnsiTheme="minorHAnsi" w:cstheme="minorHAnsi"/>
          <w:sz w:val="22"/>
          <w:szCs w:val="22"/>
        </w:rPr>
        <w:t xml:space="preserve"> létszám</w:t>
      </w:r>
      <w:r w:rsidRPr="008441A8">
        <w:rPr>
          <w:rFonts w:asciiTheme="minorHAnsi" w:hAnsiTheme="minorHAnsi" w:cstheme="minorHAnsi"/>
          <w:sz w:val="22"/>
          <w:szCs w:val="22"/>
        </w:rPr>
        <w:t xml:space="preserve"> részletezettség</w:t>
      </w:r>
      <w:r w:rsidR="0087022E">
        <w:rPr>
          <w:rFonts w:asciiTheme="minorHAnsi" w:hAnsiTheme="minorHAnsi" w:cstheme="minorHAnsi"/>
          <w:sz w:val="22"/>
          <w:szCs w:val="22"/>
        </w:rPr>
        <w:t>e</w:t>
      </w:r>
      <w:r w:rsidRPr="008441A8">
        <w:rPr>
          <w:rFonts w:asciiTheme="minorHAnsi" w:hAnsiTheme="minorHAnsi" w:cstheme="minorHAnsi"/>
          <w:sz w:val="22"/>
          <w:szCs w:val="22"/>
        </w:rPr>
        <w:t xml:space="preserve"> helyett a jogszabályi előírást – jogviszonyonkénti létszámadatok – kell alkalmazni. </w:t>
      </w:r>
    </w:p>
    <w:p w14:paraId="415ACC52" w14:textId="77777777" w:rsidR="00151533" w:rsidRDefault="00151533" w:rsidP="00BA1A01">
      <w:pPr>
        <w:jc w:val="both"/>
        <w:rPr>
          <w:rFonts w:ascii="Calibri" w:hAnsi="Calibri" w:cs="Calibri"/>
          <w:b/>
          <w:sz w:val="22"/>
          <w:szCs w:val="22"/>
        </w:rPr>
      </w:pPr>
    </w:p>
    <w:p w14:paraId="41483916" w14:textId="37B0F08D" w:rsidR="00500B0C" w:rsidRDefault="00151533" w:rsidP="00BA1A01">
      <w:pPr>
        <w:ind w:left="567"/>
        <w:jc w:val="both"/>
        <w:rPr>
          <w:rFonts w:ascii="Calibri" w:hAnsi="Calibri" w:cs="Calibri"/>
          <w:sz w:val="22"/>
          <w:szCs w:val="22"/>
        </w:rPr>
      </w:pPr>
      <w:r w:rsidRPr="00151533">
        <w:rPr>
          <w:rFonts w:ascii="Calibri" w:hAnsi="Calibri" w:cs="Calibri"/>
          <w:sz w:val="22"/>
          <w:szCs w:val="22"/>
        </w:rPr>
        <w:t>Továbbá v</w:t>
      </w:r>
      <w:r w:rsidR="00CA378C" w:rsidRPr="00151533">
        <w:rPr>
          <w:rFonts w:ascii="Calibri" w:hAnsi="Calibri" w:cs="Calibri"/>
          <w:sz w:val="22"/>
          <w:szCs w:val="22"/>
        </w:rPr>
        <w:t>égrehajtásra került a</w:t>
      </w:r>
      <w:r w:rsidR="00113A39" w:rsidRPr="00151533">
        <w:rPr>
          <w:rFonts w:ascii="Calibri" w:hAnsi="Calibri" w:cs="Calibri"/>
          <w:sz w:val="22"/>
          <w:szCs w:val="22"/>
        </w:rPr>
        <w:t xml:space="preserve"> </w:t>
      </w:r>
      <w:r w:rsidR="00B124A2" w:rsidRPr="00151533">
        <w:rPr>
          <w:rFonts w:ascii="Calibri" w:hAnsi="Calibri" w:cs="Calibri"/>
          <w:sz w:val="22"/>
          <w:szCs w:val="22"/>
        </w:rPr>
        <w:t xml:space="preserve">172/2025. (V.29.) </w:t>
      </w:r>
      <w:r w:rsidR="00D72CE9" w:rsidRPr="00151533">
        <w:rPr>
          <w:rFonts w:ascii="Calibri" w:hAnsi="Calibri" w:cs="Calibri"/>
          <w:sz w:val="22"/>
          <w:szCs w:val="22"/>
        </w:rPr>
        <w:t xml:space="preserve">kgy.sz. határozat mely </w:t>
      </w:r>
      <w:r w:rsidR="00B124A2" w:rsidRPr="00151533">
        <w:rPr>
          <w:rFonts w:ascii="Calibri" w:hAnsi="Calibri" w:cs="Calibri"/>
          <w:sz w:val="22"/>
          <w:szCs w:val="22"/>
        </w:rPr>
        <w:t xml:space="preserve">alapján </w:t>
      </w:r>
      <w:r w:rsidR="00D72CE9" w:rsidRPr="00151533">
        <w:rPr>
          <w:rFonts w:ascii="Calibri" w:hAnsi="Calibri" w:cs="Calibri"/>
          <w:sz w:val="22"/>
          <w:szCs w:val="22"/>
        </w:rPr>
        <w:t xml:space="preserve">a </w:t>
      </w:r>
      <w:r w:rsidR="00B124A2" w:rsidRPr="00151533">
        <w:rPr>
          <w:rFonts w:ascii="Calibri" w:hAnsi="Calibri" w:cs="Calibri"/>
          <w:sz w:val="22"/>
          <w:szCs w:val="22"/>
        </w:rPr>
        <w:t>Margaréta</w:t>
      </w:r>
      <w:r w:rsidR="00D72CE9" w:rsidRPr="00151533">
        <w:rPr>
          <w:rFonts w:ascii="Calibri" w:hAnsi="Calibri" w:cs="Calibri"/>
          <w:sz w:val="22"/>
          <w:szCs w:val="22"/>
        </w:rPr>
        <w:t xml:space="preserve"> Óvodában 1 fő </w:t>
      </w:r>
      <w:r w:rsidR="00B124A2" w:rsidRPr="00151533">
        <w:rPr>
          <w:rFonts w:ascii="Calibri" w:hAnsi="Calibri" w:cs="Calibri"/>
          <w:sz w:val="22"/>
          <w:szCs w:val="22"/>
        </w:rPr>
        <w:t xml:space="preserve">óvodapedagógus státusz határozott időről határozatlan időre került megállapításra. Az intézmény mindösszesen létszám előirányzata változatlan maradt. </w:t>
      </w:r>
      <w:r w:rsidR="005C1FAD" w:rsidRPr="00151533">
        <w:rPr>
          <w:rFonts w:ascii="Calibri" w:hAnsi="Calibri" w:cs="Calibri"/>
          <w:sz w:val="22"/>
          <w:szCs w:val="22"/>
        </w:rPr>
        <w:t xml:space="preserve"> </w:t>
      </w:r>
    </w:p>
    <w:p w14:paraId="5C04CDCB" w14:textId="77777777" w:rsidR="003B70A4" w:rsidRDefault="003B70A4" w:rsidP="00BA1A01">
      <w:pPr>
        <w:ind w:left="567"/>
        <w:jc w:val="both"/>
        <w:rPr>
          <w:rFonts w:ascii="Calibri" w:hAnsi="Calibri" w:cs="Calibri"/>
          <w:sz w:val="22"/>
          <w:szCs w:val="22"/>
        </w:rPr>
      </w:pPr>
    </w:p>
    <w:p w14:paraId="05CED055" w14:textId="732577C3" w:rsidR="003B70A4" w:rsidRPr="00151533" w:rsidRDefault="003B70A4" w:rsidP="00BA1A01">
      <w:pPr>
        <w:ind w:left="567"/>
        <w:jc w:val="both"/>
        <w:rPr>
          <w:rFonts w:ascii="Calibri" w:hAnsi="Calibri" w:cs="Calibri"/>
          <w:sz w:val="22"/>
          <w:szCs w:val="22"/>
        </w:rPr>
      </w:pPr>
      <w:r w:rsidRPr="003B70A4">
        <w:rPr>
          <w:rFonts w:ascii="Calibri" w:hAnsi="Calibri" w:cs="Calibri"/>
          <w:sz w:val="22"/>
          <w:szCs w:val="22"/>
        </w:rPr>
        <w:t>A Közgyűlés a költségvetési szervek 2025. évi létszámkeretét 1.487 főben határozza meg</w:t>
      </w:r>
      <w:r>
        <w:rPr>
          <w:rFonts w:ascii="Calibri" w:hAnsi="Calibri" w:cs="Calibri"/>
          <w:sz w:val="22"/>
          <w:szCs w:val="22"/>
        </w:rPr>
        <w:t>, mely az előző rendeletmódosításhoz viszonyítva változatlan. Viszont az új szabályozásnak megfelelően be kellett emelni</w:t>
      </w:r>
      <w:r w:rsidRPr="003B70A4">
        <w:rPr>
          <w:rFonts w:ascii="Calibri" w:hAnsi="Calibri" w:cs="Calibri"/>
          <w:sz w:val="22"/>
          <w:szCs w:val="22"/>
        </w:rPr>
        <w:t xml:space="preserve"> az önkormányzati választott tisztségviselők létszám</w:t>
      </w:r>
      <w:r>
        <w:rPr>
          <w:rFonts w:ascii="Calibri" w:hAnsi="Calibri" w:cs="Calibri"/>
          <w:sz w:val="22"/>
          <w:szCs w:val="22"/>
        </w:rPr>
        <w:t xml:space="preserve"> előirányzatát, mely</w:t>
      </w:r>
      <w:r w:rsidRPr="003B70A4">
        <w:rPr>
          <w:rFonts w:ascii="Calibri" w:hAnsi="Calibri" w:cs="Calibri"/>
          <w:sz w:val="22"/>
          <w:szCs w:val="22"/>
        </w:rPr>
        <w:t xml:space="preserve"> 18 főben</w:t>
      </w:r>
      <w:r>
        <w:rPr>
          <w:rFonts w:ascii="Calibri" w:hAnsi="Calibri" w:cs="Calibri"/>
          <w:sz w:val="22"/>
          <w:szCs w:val="22"/>
        </w:rPr>
        <w:t xml:space="preserve"> került meghatározásra.</w:t>
      </w:r>
    </w:p>
    <w:sectPr w:rsidR="003B70A4" w:rsidRPr="00151533">
      <w:headerReference w:type="even" r:id="rId8"/>
      <w:footerReference w:type="even"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CD0E2" w14:textId="77777777" w:rsidR="00DF4027" w:rsidRDefault="00DF4027">
      <w:r>
        <w:separator/>
      </w:r>
    </w:p>
  </w:endnote>
  <w:endnote w:type="continuationSeparator" w:id="0">
    <w:p w14:paraId="61C252A6" w14:textId="77777777" w:rsidR="00DF4027" w:rsidRDefault="00DF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41B3" w14:textId="77777777" w:rsidR="003B6BF4" w:rsidRDefault="003B6B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3932FF2" w14:textId="77777777" w:rsidR="003B6BF4" w:rsidRDefault="003B6B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D5D1" w14:textId="77777777" w:rsidR="00DF4027" w:rsidRDefault="00DF4027">
      <w:r>
        <w:separator/>
      </w:r>
    </w:p>
  </w:footnote>
  <w:footnote w:type="continuationSeparator" w:id="0">
    <w:p w14:paraId="6F963C77" w14:textId="77777777" w:rsidR="00DF4027" w:rsidRDefault="00DF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C95A" w14:textId="77777777" w:rsidR="003B6BF4" w:rsidRDefault="003B6BF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D87084" w14:textId="77777777" w:rsidR="003B6BF4" w:rsidRDefault="003B6BF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7E1903"/>
    <w:multiLevelType w:val="hybridMultilevel"/>
    <w:tmpl w:val="2E247E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5347EB"/>
    <w:multiLevelType w:val="hybridMultilevel"/>
    <w:tmpl w:val="2D3CB89E"/>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 w15:restartNumberingAfterBreak="0">
    <w:nsid w:val="15977FCD"/>
    <w:multiLevelType w:val="hybridMultilevel"/>
    <w:tmpl w:val="807CA76E"/>
    <w:lvl w:ilvl="0" w:tplc="AF503D20">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267F80"/>
    <w:multiLevelType w:val="hybridMultilevel"/>
    <w:tmpl w:val="CF441CCA"/>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04401"/>
    <w:multiLevelType w:val="hybridMultilevel"/>
    <w:tmpl w:val="76589D24"/>
    <w:lvl w:ilvl="0" w:tplc="6688CF0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A4164B"/>
    <w:multiLevelType w:val="hybridMultilevel"/>
    <w:tmpl w:val="DC0E93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28550A5D"/>
    <w:multiLevelType w:val="hybridMultilevel"/>
    <w:tmpl w:val="C3D0A192"/>
    <w:lvl w:ilvl="0" w:tplc="E7A8DC08">
      <w:start w:val="4"/>
      <w:numFmt w:val="bullet"/>
      <w:lvlText w:val="-"/>
      <w:lvlJc w:val="left"/>
      <w:pPr>
        <w:ind w:left="405" w:hanging="360"/>
      </w:pPr>
      <w:rPr>
        <w:rFonts w:ascii="Calibri" w:eastAsia="Times New Roman" w:hAnsi="Calibri" w:cs="Calibri"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8" w15:restartNumberingAfterBreak="0">
    <w:nsid w:val="2B562FAC"/>
    <w:multiLevelType w:val="hybridMultilevel"/>
    <w:tmpl w:val="264A5B56"/>
    <w:lvl w:ilvl="0" w:tplc="8B28260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EB51B5"/>
    <w:multiLevelType w:val="hybridMultilevel"/>
    <w:tmpl w:val="92567092"/>
    <w:lvl w:ilvl="0" w:tplc="040E0009">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680084E"/>
    <w:multiLevelType w:val="hybridMultilevel"/>
    <w:tmpl w:val="160C46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6C90366"/>
    <w:multiLevelType w:val="hybridMultilevel"/>
    <w:tmpl w:val="9F4836BC"/>
    <w:lvl w:ilvl="0" w:tplc="B6821BD2">
      <w:numFmt w:val="bullet"/>
      <w:lvlText w:val="-"/>
      <w:lvlJc w:val="left"/>
      <w:pPr>
        <w:ind w:left="1789" w:hanging="360"/>
      </w:pPr>
      <w:rPr>
        <w:rFonts w:ascii="Calibri" w:eastAsia="Times New Roman" w:hAnsi="Calibri" w:cs="Calibri"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12" w15:restartNumberingAfterBreak="0">
    <w:nsid w:val="3CE56D8B"/>
    <w:multiLevelType w:val="hybridMultilevel"/>
    <w:tmpl w:val="6518E1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C15BFA"/>
    <w:multiLevelType w:val="hybridMultilevel"/>
    <w:tmpl w:val="D9CE5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A3799E"/>
    <w:multiLevelType w:val="hybridMultilevel"/>
    <w:tmpl w:val="FDE6053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23114A"/>
    <w:multiLevelType w:val="hybridMultilevel"/>
    <w:tmpl w:val="7B76C2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51E4C2D"/>
    <w:multiLevelType w:val="hybridMultilevel"/>
    <w:tmpl w:val="FDE60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E06A29"/>
    <w:multiLevelType w:val="hybridMultilevel"/>
    <w:tmpl w:val="01BCC8C6"/>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1A6167"/>
    <w:multiLevelType w:val="hybridMultilevel"/>
    <w:tmpl w:val="DA7EC4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FB34E04"/>
    <w:multiLevelType w:val="hybridMultilevel"/>
    <w:tmpl w:val="86DC4B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40F0C83"/>
    <w:multiLevelType w:val="hybridMultilevel"/>
    <w:tmpl w:val="661CBC6C"/>
    <w:lvl w:ilvl="0" w:tplc="C312FACE">
      <w:start w:val="5"/>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57010A26"/>
    <w:multiLevelType w:val="hybridMultilevel"/>
    <w:tmpl w:val="FDB243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5A23484F"/>
    <w:multiLevelType w:val="hybridMultilevel"/>
    <w:tmpl w:val="6D585D48"/>
    <w:lvl w:ilvl="0" w:tplc="040E000F">
      <w:start w:val="1"/>
      <w:numFmt w:val="decimal"/>
      <w:lvlText w:val="%1."/>
      <w:lvlJc w:val="left"/>
      <w:pPr>
        <w:tabs>
          <w:tab w:val="num" w:pos="720"/>
        </w:tabs>
        <w:ind w:left="720" w:hanging="360"/>
      </w:pPr>
      <w:rPr>
        <w:rFonts w:hint="default"/>
      </w:rPr>
    </w:lvl>
    <w:lvl w:ilvl="1" w:tplc="EF3C77BC">
      <w:start w:val="1"/>
      <w:numFmt w:val="lowerLetter"/>
      <w:lvlText w:val="%2."/>
      <w:lvlJc w:val="left"/>
      <w:pPr>
        <w:tabs>
          <w:tab w:val="num" w:pos="1440"/>
        </w:tabs>
        <w:ind w:left="1440" w:hanging="360"/>
      </w:pPr>
      <w:rPr>
        <w:rFonts w:hint="default"/>
      </w:rPr>
    </w:lvl>
    <w:lvl w:ilvl="2" w:tplc="4808C17C">
      <w:start w:val="4"/>
      <w:numFmt w:val="upperRoman"/>
      <w:pStyle w:val="Cmsor2"/>
      <w:lvlText w:val="%3."/>
      <w:lvlJc w:val="left"/>
      <w:pPr>
        <w:tabs>
          <w:tab w:val="num" w:pos="2700"/>
        </w:tabs>
        <w:ind w:left="2700" w:hanging="720"/>
      </w:pPr>
      <w:rPr>
        <w:rFonts w:hint="default"/>
      </w:rPr>
    </w:lvl>
    <w:lvl w:ilvl="3" w:tplc="040E0011">
      <w:start w:val="1"/>
      <w:numFmt w:val="decimal"/>
      <w:lvlText w:val="%4)"/>
      <w:lvlJc w:val="left"/>
      <w:pPr>
        <w:tabs>
          <w:tab w:val="num" w:pos="2880"/>
        </w:tabs>
        <w:ind w:left="2880" w:hanging="360"/>
      </w:pPr>
    </w:lvl>
    <w:lvl w:ilvl="4" w:tplc="B1F80554">
      <w:start w:val="1"/>
      <w:numFmt w:val="lowerLetter"/>
      <w:lvlText w:val="%5.)"/>
      <w:lvlJc w:val="left"/>
      <w:pPr>
        <w:tabs>
          <w:tab w:val="num" w:pos="3600"/>
        </w:tabs>
        <w:ind w:left="3600" w:hanging="360"/>
      </w:pPr>
      <w:rPr>
        <w:rFonts w:hint="default"/>
      </w:rPr>
    </w:lvl>
    <w:lvl w:ilvl="5" w:tplc="25324358">
      <w:start w:val="1"/>
      <w:numFmt w:val="decimal"/>
      <w:lvlText w:val="%6.)"/>
      <w:lvlJc w:val="left"/>
      <w:pPr>
        <w:tabs>
          <w:tab w:val="num" w:pos="4500"/>
        </w:tabs>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A4E221D"/>
    <w:multiLevelType w:val="hybridMultilevel"/>
    <w:tmpl w:val="460A5140"/>
    <w:lvl w:ilvl="0" w:tplc="9BCA3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61E637A"/>
    <w:multiLevelType w:val="hybridMultilevel"/>
    <w:tmpl w:val="E488B312"/>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E181C"/>
    <w:multiLevelType w:val="hybridMultilevel"/>
    <w:tmpl w:val="26BEA524"/>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0EE2DC8"/>
    <w:multiLevelType w:val="hybridMultilevel"/>
    <w:tmpl w:val="A20C57A8"/>
    <w:lvl w:ilvl="0" w:tplc="95461D98">
      <w:start w:val="2"/>
      <w:numFmt w:val="bullet"/>
      <w:lvlText w:val="-"/>
      <w:lvlJc w:val="left"/>
      <w:pPr>
        <w:ind w:left="720" w:hanging="360"/>
      </w:pPr>
      <w:rPr>
        <w:rFonts w:ascii="Calibri" w:eastAsia="Times New Roman" w:hAnsi="Calibri" w:cs="Calibri" w:hint="default"/>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2E4004"/>
    <w:multiLevelType w:val="hybridMultilevel"/>
    <w:tmpl w:val="4A4A91B8"/>
    <w:lvl w:ilvl="0" w:tplc="814CA8B8">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0005893">
    <w:abstractNumId w:val="22"/>
  </w:num>
  <w:num w:numId="2" w16cid:durableId="1514110059">
    <w:abstractNumId w:val="24"/>
  </w:num>
  <w:num w:numId="3" w16cid:durableId="2025596764">
    <w:abstractNumId w:val="4"/>
  </w:num>
  <w:num w:numId="4" w16cid:durableId="2147039771">
    <w:abstractNumId w:val="15"/>
  </w:num>
  <w:num w:numId="5" w16cid:durableId="266815489">
    <w:abstractNumId w:val="1"/>
  </w:num>
  <w:num w:numId="6" w16cid:durableId="76904053">
    <w:abstractNumId w:val="13"/>
  </w:num>
  <w:num w:numId="7" w16cid:durableId="733115709">
    <w:abstractNumId w:val="17"/>
  </w:num>
  <w:num w:numId="8" w16cid:durableId="394932451">
    <w:abstractNumId w:val="8"/>
  </w:num>
  <w:num w:numId="9" w16cid:durableId="1125346141">
    <w:abstractNumId w:val="0"/>
  </w:num>
  <w:num w:numId="10" w16cid:durableId="461775376">
    <w:abstractNumId w:val="10"/>
  </w:num>
  <w:num w:numId="11" w16cid:durableId="754254049">
    <w:abstractNumId w:val="23"/>
  </w:num>
  <w:num w:numId="12" w16cid:durableId="56904890">
    <w:abstractNumId w:val="14"/>
  </w:num>
  <w:num w:numId="13" w16cid:durableId="2115125235">
    <w:abstractNumId w:val="6"/>
  </w:num>
  <w:num w:numId="14" w16cid:durableId="1904678294">
    <w:abstractNumId w:val="5"/>
  </w:num>
  <w:num w:numId="15" w16cid:durableId="1704165342">
    <w:abstractNumId w:val="20"/>
  </w:num>
  <w:num w:numId="16" w16cid:durableId="1046838135">
    <w:abstractNumId w:val="27"/>
  </w:num>
  <w:num w:numId="17" w16cid:durableId="1483697834">
    <w:abstractNumId w:val="18"/>
  </w:num>
  <w:num w:numId="18" w16cid:durableId="254482956">
    <w:abstractNumId w:val="9"/>
  </w:num>
  <w:num w:numId="19" w16cid:durableId="1538398044">
    <w:abstractNumId w:val="25"/>
  </w:num>
  <w:num w:numId="20" w16cid:durableId="1902908508">
    <w:abstractNumId w:val="12"/>
  </w:num>
  <w:num w:numId="21" w16cid:durableId="1714958680">
    <w:abstractNumId w:val="26"/>
  </w:num>
  <w:num w:numId="22" w16cid:durableId="742533284">
    <w:abstractNumId w:val="3"/>
  </w:num>
  <w:num w:numId="23" w16cid:durableId="1331718109">
    <w:abstractNumId w:val="16"/>
  </w:num>
  <w:num w:numId="24" w16cid:durableId="427654227">
    <w:abstractNumId w:val="2"/>
  </w:num>
  <w:num w:numId="25" w16cid:durableId="1870870811">
    <w:abstractNumId w:val="21"/>
  </w:num>
  <w:num w:numId="26" w16cid:durableId="974218618">
    <w:abstractNumId w:val="11"/>
  </w:num>
  <w:num w:numId="27" w16cid:durableId="1318219485">
    <w:abstractNumId w:val="7"/>
  </w:num>
  <w:num w:numId="28" w16cid:durableId="21258841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9D"/>
    <w:rsid w:val="00000B77"/>
    <w:rsid w:val="00000DEF"/>
    <w:rsid w:val="00001804"/>
    <w:rsid w:val="00001831"/>
    <w:rsid w:val="0000296A"/>
    <w:rsid w:val="00002973"/>
    <w:rsid w:val="000042E9"/>
    <w:rsid w:val="00004ACD"/>
    <w:rsid w:val="00005FB8"/>
    <w:rsid w:val="000106AB"/>
    <w:rsid w:val="00012952"/>
    <w:rsid w:val="00012B7D"/>
    <w:rsid w:val="00012C1C"/>
    <w:rsid w:val="00012F6B"/>
    <w:rsid w:val="000136DB"/>
    <w:rsid w:val="00020713"/>
    <w:rsid w:val="000214A5"/>
    <w:rsid w:val="000217AA"/>
    <w:rsid w:val="00021F4A"/>
    <w:rsid w:val="000225A3"/>
    <w:rsid w:val="00023130"/>
    <w:rsid w:val="00023BA7"/>
    <w:rsid w:val="00023D91"/>
    <w:rsid w:val="000243E3"/>
    <w:rsid w:val="00024A6E"/>
    <w:rsid w:val="00026F2E"/>
    <w:rsid w:val="00027ED3"/>
    <w:rsid w:val="0003036E"/>
    <w:rsid w:val="00030838"/>
    <w:rsid w:val="00030A2A"/>
    <w:rsid w:val="0003167D"/>
    <w:rsid w:val="00032005"/>
    <w:rsid w:val="000326DE"/>
    <w:rsid w:val="000348E6"/>
    <w:rsid w:val="00034DA9"/>
    <w:rsid w:val="00035278"/>
    <w:rsid w:val="000358D5"/>
    <w:rsid w:val="0003671F"/>
    <w:rsid w:val="000367C6"/>
    <w:rsid w:val="000369F1"/>
    <w:rsid w:val="0003725D"/>
    <w:rsid w:val="000418B7"/>
    <w:rsid w:val="000423E2"/>
    <w:rsid w:val="0004270E"/>
    <w:rsid w:val="000437DF"/>
    <w:rsid w:val="00044376"/>
    <w:rsid w:val="00045096"/>
    <w:rsid w:val="00045664"/>
    <w:rsid w:val="000459DF"/>
    <w:rsid w:val="00046628"/>
    <w:rsid w:val="00046AC1"/>
    <w:rsid w:val="000476EC"/>
    <w:rsid w:val="00050944"/>
    <w:rsid w:val="00051199"/>
    <w:rsid w:val="0005220E"/>
    <w:rsid w:val="000529D1"/>
    <w:rsid w:val="000534E9"/>
    <w:rsid w:val="000542EF"/>
    <w:rsid w:val="00054694"/>
    <w:rsid w:val="0005645C"/>
    <w:rsid w:val="00056530"/>
    <w:rsid w:val="0005701C"/>
    <w:rsid w:val="00057C30"/>
    <w:rsid w:val="00062904"/>
    <w:rsid w:val="00062B59"/>
    <w:rsid w:val="00063435"/>
    <w:rsid w:val="000638B7"/>
    <w:rsid w:val="00065EEC"/>
    <w:rsid w:val="0006609B"/>
    <w:rsid w:val="00066A34"/>
    <w:rsid w:val="000709BE"/>
    <w:rsid w:val="00074C9C"/>
    <w:rsid w:val="00075584"/>
    <w:rsid w:val="00075FEE"/>
    <w:rsid w:val="000767C3"/>
    <w:rsid w:val="0007704E"/>
    <w:rsid w:val="00080A31"/>
    <w:rsid w:val="00081466"/>
    <w:rsid w:val="0008273B"/>
    <w:rsid w:val="000836AE"/>
    <w:rsid w:val="0008499C"/>
    <w:rsid w:val="00084B07"/>
    <w:rsid w:val="00085F06"/>
    <w:rsid w:val="00086D6E"/>
    <w:rsid w:val="000876B2"/>
    <w:rsid w:val="00090289"/>
    <w:rsid w:val="000907D9"/>
    <w:rsid w:val="000918A8"/>
    <w:rsid w:val="00091ABA"/>
    <w:rsid w:val="0009295E"/>
    <w:rsid w:val="000940EA"/>
    <w:rsid w:val="00094C59"/>
    <w:rsid w:val="000951DF"/>
    <w:rsid w:val="00095DB7"/>
    <w:rsid w:val="000962CF"/>
    <w:rsid w:val="00096998"/>
    <w:rsid w:val="00096AC0"/>
    <w:rsid w:val="00096D27"/>
    <w:rsid w:val="000973FD"/>
    <w:rsid w:val="00097767"/>
    <w:rsid w:val="00097B84"/>
    <w:rsid w:val="000A290B"/>
    <w:rsid w:val="000A362E"/>
    <w:rsid w:val="000A37BA"/>
    <w:rsid w:val="000A4222"/>
    <w:rsid w:val="000A4E5C"/>
    <w:rsid w:val="000A5D39"/>
    <w:rsid w:val="000A66B9"/>
    <w:rsid w:val="000A7155"/>
    <w:rsid w:val="000A730E"/>
    <w:rsid w:val="000B12E9"/>
    <w:rsid w:val="000B2543"/>
    <w:rsid w:val="000B2DDC"/>
    <w:rsid w:val="000B2E1E"/>
    <w:rsid w:val="000B3479"/>
    <w:rsid w:val="000B3628"/>
    <w:rsid w:val="000B3F45"/>
    <w:rsid w:val="000B5E4C"/>
    <w:rsid w:val="000B7EB3"/>
    <w:rsid w:val="000C0501"/>
    <w:rsid w:val="000C0597"/>
    <w:rsid w:val="000C16F1"/>
    <w:rsid w:val="000C19D4"/>
    <w:rsid w:val="000C294F"/>
    <w:rsid w:val="000C430D"/>
    <w:rsid w:val="000C594C"/>
    <w:rsid w:val="000C6E9E"/>
    <w:rsid w:val="000C7E03"/>
    <w:rsid w:val="000D0D42"/>
    <w:rsid w:val="000D178B"/>
    <w:rsid w:val="000D2364"/>
    <w:rsid w:val="000D2585"/>
    <w:rsid w:val="000D3842"/>
    <w:rsid w:val="000D3ACC"/>
    <w:rsid w:val="000D56AB"/>
    <w:rsid w:val="000D5C35"/>
    <w:rsid w:val="000D6908"/>
    <w:rsid w:val="000D6D20"/>
    <w:rsid w:val="000D746A"/>
    <w:rsid w:val="000E04AA"/>
    <w:rsid w:val="000E19CA"/>
    <w:rsid w:val="000E6478"/>
    <w:rsid w:val="000E676D"/>
    <w:rsid w:val="000E6DBC"/>
    <w:rsid w:val="000E6FCC"/>
    <w:rsid w:val="000E73FF"/>
    <w:rsid w:val="000E77D0"/>
    <w:rsid w:val="000F0DDA"/>
    <w:rsid w:val="000F230A"/>
    <w:rsid w:val="000F364A"/>
    <w:rsid w:val="000F434F"/>
    <w:rsid w:val="000F512B"/>
    <w:rsid w:val="000F542C"/>
    <w:rsid w:val="000F5C01"/>
    <w:rsid w:val="000F5E21"/>
    <w:rsid w:val="000F623C"/>
    <w:rsid w:val="000F62BE"/>
    <w:rsid w:val="000F7536"/>
    <w:rsid w:val="000F7E3D"/>
    <w:rsid w:val="0010002A"/>
    <w:rsid w:val="001016C9"/>
    <w:rsid w:val="001022BC"/>
    <w:rsid w:val="00102C78"/>
    <w:rsid w:val="0010756A"/>
    <w:rsid w:val="00107C5D"/>
    <w:rsid w:val="00110235"/>
    <w:rsid w:val="00110AA0"/>
    <w:rsid w:val="001124D2"/>
    <w:rsid w:val="00112A39"/>
    <w:rsid w:val="00112C87"/>
    <w:rsid w:val="0011398C"/>
    <w:rsid w:val="00113A39"/>
    <w:rsid w:val="0011509E"/>
    <w:rsid w:val="00116226"/>
    <w:rsid w:val="0012062C"/>
    <w:rsid w:val="001208A8"/>
    <w:rsid w:val="001222F2"/>
    <w:rsid w:val="00122914"/>
    <w:rsid w:val="001235EE"/>
    <w:rsid w:val="001236B3"/>
    <w:rsid w:val="001236F9"/>
    <w:rsid w:val="00124B57"/>
    <w:rsid w:val="00124D83"/>
    <w:rsid w:val="00126F24"/>
    <w:rsid w:val="001271DC"/>
    <w:rsid w:val="001302D4"/>
    <w:rsid w:val="0013036C"/>
    <w:rsid w:val="00130E11"/>
    <w:rsid w:val="001318A2"/>
    <w:rsid w:val="00133AF9"/>
    <w:rsid w:val="00133F35"/>
    <w:rsid w:val="00134403"/>
    <w:rsid w:val="00135A87"/>
    <w:rsid w:val="00135DD1"/>
    <w:rsid w:val="00136209"/>
    <w:rsid w:val="00140ACE"/>
    <w:rsid w:val="00140FCA"/>
    <w:rsid w:val="00142378"/>
    <w:rsid w:val="00142CE7"/>
    <w:rsid w:val="001437FF"/>
    <w:rsid w:val="00143E29"/>
    <w:rsid w:val="0014403E"/>
    <w:rsid w:val="0014414A"/>
    <w:rsid w:val="00144257"/>
    <w:rsid w:val="00144FE6"/>
    <w:rsid w:val="001454A6"/>
    <w:rsid w:val="00145C1B"/>
    <w:rsid w:val="0014600C"/>
    <w:rsid w:val="00147089"/>
    <w:rsid w:val="00147AD9"/>
    <w:rsid w:val="00147C70"/>
    <w:rsid w:val="001504C9"/>
    <w:rsid w:val="001509F0"/>
    <w:rsid w:val="0015111E"/>
    <w:rsid w:val="00151533"/>
    <w:rsid w:val="00151ACF"/>
    <w:rsid w:val="00151E1D"/>
    <w:rsid w:val="001524FA"/>
    <w:rsid w:val="001536D5"/>
    <w:rsid w:val="00157EBA"/>
    <w:rsid w:val="001609A0"/>
    <w:rsid w:val="00161EA5"/>
    <w:rsid w:val="00162658"/>
    <w:rsid w:val="0016317E"/>
    <w:rsid w:val="00165439"/>
    <w:rsid w:val="00165AB1"/>
    <w:rsid w:val="00167151"/>
    <w:rsid w:val="00167949"/>
    <w:rsid w:val="001714F6"/>
    <w:rsid w:val="00171A15"/>
    <w:rsid w:val="0017205C"/>
    <w:rsid w:val="0017242E"/>
    <w:rsid w:val="0017272E"/>
    <w:rsid w:val="00173F0B"/>
    <w:rsid w:val="00175FE5"/>
    <w:rsid w:val="00176140"/>
    <w:rsid w:val="001811A6"/>
    <w:rsid w:val="001812C9"/>
    <w:rsid w:val="00182138"/>
    <w:rsid w:val="00182240"/>
    <w:rsid w:val="001827B7"/>
    <w:rsid w:val="00182962"/>
    <w:rsid w:val="00183024"/>
    <w:rsid w:val="00183FB1"/>
    <w:rsid w:val="00187ACE"/>
    <w:rsid w:val="00187B80"/>
    <w:rsid w:val="00190C08"/>
    <w:rsid w:val="00190F75"/>
    <w:rsid w:val="001914A0"/>
    <w:rsid w:val="001916FD"/>
    <w:rsid w:val="001926CD"/>
    <w:rsid w:val="0019292E"/>
    <w:rsid w:val="001933AF"/>
    <w:rsid w:val="00195982"/>
    <w:rsid w:val="00195E08"/>
    <w:rsid w:val="00195E31"/>
    <w:rsid w:val="00196463"/>
    <w:rsid w:val="0019775C"/>
    <w:rsid w:val="00197E4C"/>
    <w:rsid w:val="001A0D55"/>
    <w:rsid w:val="001A17BD"/>
    <w:rsid w:val="001A1991"/>
    <w:rsid w:val="001A1C8E"/>
    <w:rsid w:val="001A2DFC"/>
    <w:rsid w:val="001A39C9"/>
    <w:rsid w:val="001A448A"/>
    <w:rsid w:val="001A474C"/>
    <w:rsid w:val="001A5886"/>
    <w:rsid w:val="001A5A46"/>
    <w:rsid w:val="001A5BE8"/>
    <w:rsid w:val="001A6A7E"/>
    <w:rsid w:val="001A7968"/>
    <w:rsid w:val="001B01B7"/>
    <w:rsid w:val="001B0595"/>
    <w:rsid w:val="001B102F"/>
    <w:rsid w:val="001B11CB"/>
    <w:rsid w:val="001B49DF"/>
    <w:rsid w:val="001B6F02"/>
    <w:rsid w:val="001B7598"/>
    <w:rsid w:val="001B7ACD"/>
    <w:rsid w:val="001C0441"/>
    <w:rsid w:val="001C262B"/>
    <w:rsid w:val="001C2A3A"/>
    <w:rsid w:val="001C2C48"/>
    <w:rsid w:val="001C2C97"/>
    <w:rsid w:val="001C4268"/>
    <w:rsid w:val="001C4E1A"/>
    <w:rsid w:val="001C4EF1"/>
    <w:rsid w:val="001C54F2"/>
    <w:rsid w:val="001C5685"/>
    <w:rsid w:val="001C6C28"/>
    <w:rsid w:val="001D082E"/>
    <w:rsid w:val="001D1450"/>
    <w:rsid w:val="001D1E27"/>
    <w:rsid w:val="001D2071"/>
    <w:rsid w:val="001D21B8"/>
    <w:rsid w:val="001D4ED2"/>
    <w:rsid w:val="001D620B"/>
    <w:rsid w:val="001D6287"/>
    <w:rsid w:val="001D69D9"/>
    <w:rsid w:val="001D6AF1"/>
    <w:rsid w:val="001E1059"/>
    <w:rsid w:val="001E1FEB"/>
    <w:rsid w:val="001E2EF8"/>
    <w:rsid w:val="001E3C4B"/>
    <w:rsid w:val="001E484B"/>
    <w:rsid w:val="001E4D0D"/>
    <w:rsid w:val="001E4FBF"/>
    <w:rsid w:val="001E63DB"/>
    <w:rsid w:val="001E657C"/>
    <w:rsid w:val="001E6858"/>
    <w:rsid w:val="001E7988"/>
    <w:rsid w:val="001F3E40"/>
    <w:rsid w:val="001F4B5E"/>
    <w:rsid w:val="001F5100"/>
    <w:rsid w:val="001F530E"/>
    <w:rsid w:val="001F5B45"/>
    <w:rsid w:val="001F6B3C"/>
    <w:rsid w:val="002005CF"/>
    <w:rsid w:val="00200A19"/>
    <w:rsid w:val="0020287B"/>
    <w:rsid w:val="00202BB6"/>
    <w:rsid w:val="00203695"/>
    <w:rsid w:val="00203ECD"/>
    <w:rsid w:val="00204183"/>
    <w:rsid w:val="00204621"/>
    <w:rsid w:val="002051B6"/>
    <w:rsid w:val="00205FAC"/>
    <w:rsid w:val="00206140"/>
    <w:rsid w:val="002069BD"/>
    <w:rsid w:val="00206B8E"/>
    <w:rsid w:val="00210408"/>
    <w:rsid w:val="00210658"/>
    <w:rsid w:val="002115E8"/>
    <w:rsid w:val="00213720"/>
    <w:rsid w:val="00214BD2"/>
    <w:rsid w:val="002166BE"/>
    <w:rsid w:val="00217451"/>
    <w:rsid w:val="00217980"/>
    <w:rsid w:val="00217C04"/>
    <w:rsid w:val="00217FF5"/>
    <w:rsid w:val="00220138"/>
    <w:rsid w:val="00220F32"/>
    <w:rsid w:val="00221839"/>
    <w:rsid w:val="00221C9D"/>
    <w:rsid w:val="00222F32"/>
    <w:rsid w:val="002231B3"/>
    <w:rsid w:val="00223885"/>
    <w:rsid w:val="00225AD2"/>
    <w:rsid w:val="00225E49"/>
    <w:rsid w:val="00226D34"/>
    <w:rsid w:val="00227FCB"/>
    <w:rsid w:val="00231412"/>
    <w:rsid w:val="002314B9"/>
    <w:rsid w:val="002322D6"/>
    <w:rsid w:val="00232F3E"/>
    <w:rsid w:val="00236B31"/>
    <w:rsid w:val="002376F6"/>
    <w:rsid w:val="00237F02"/>
    <w:rsid w:val="00241880"/>
    <w:rsid w:val="002418ED"/>
    <w:rsid w:val="00241987"/>
    <w:rsid w:val="00242F39"/>
    <w:rsid w:val="00243AC4"/>
    <w:rsid w:val="00243F98"/>
    <w:rsid w:val="002442E2"/>
    <w:rsid w:val="00244F65"/>
    <w:rsid w:val="00245020"/>
    <w:rsid w:val="002478A5"/>
    <w:rsid w:val="00251C51"/>
    <w:rsid w:val="002524CF"/>
    <w:rsid w:val="002531E3"/>
    <w:rsid w:val="0025411C"/>
    <w:rsid w:val="00255E85"/>
    <w:rsid w:val="00256144"/>
    <w:rsid w:val="0025679E"/>
    <w:rsid w:val="00257B08"/>
    <w:rsid w:val="00257CCF"/>
    <w:rsid w:val="00261015"/>
    <w:rsid w:val="00261427"/>
    <w:rsid w:val="00262A4A"/>
    <w:rsid w:val="0026339F"/>
    <w:rsid w:val="0026373F"/>
    <w:rsid w:val="00264E6E"/>
    <w:rsid w:val="00265B10"/>
    <w:rsid w:val="0027016C"/>
    <w:rsid w:val="002709F5"/>
    <w:rsid w:val="00272F93"/>
    <w:rsid w:val="00273B97"/>
    <w:rsid w:val="0027483F"/>
    <w:rsid w:val="00274955"/>
    <w:rsid w:val="00274D7A"/>
    <w:rsid w:val="00277B4D"/>
    <w:rsid w:val="00280131"/>
    <w:rsid w:val="002812BF"/>
    <w:rsid w:val="002814E8"/>
    <w:rsid w:val="00281803"/>
    <w:rsid w:val="00281824"/>
    <w:rsid w:val="00281A66"/>
    <w:rsid w:val="00282CED"/>
    <w:rsid w:val="00284908"/>
    <w:rsid w:val="002849F7"/>
    <w:rsid w:val="00285581"/>
    <w:rsid w:val="00286295"/>
    <w:rsid w:val="00286EF9"/>
    <w:rsid w:val="00286F56"/>
    <w:rsid w:val="0028717B"/>
    <w:rsid w:val="00291418"/>
    <w:rsid w:val="00291D49"/>
    <w:rsid w:val="00291EB9"/>
    <w:rsid w:val="00293327"/>
    <w:rsid w:val="00294E9E"/>
    <w:rsid w:val="00295143"/>
    <w:rsid w:val="00295462"/>
    <w:rsid w:val="00296253"/>
    <w:rsid w:val="0029626F"/>
    <w:rsid w:val="0029723A"/>
    <w:rsid w:val="00297C92"/>
    <w:rsid w:val="00297D4A"/>
    <w:rsid w:val="00297D9B"/>
    <w:rsid w:val="002A28A3"/>
    <w:rsid w:val="002A346F"/>
    <w:rsid w:val="002A3CA7"/>
    <w:rsid w:val="002A5146"/>
    <w:rsid w:val="002A54FC"/>
    <w:rsid w:val="002A5A4A"/>
    <w:rsid w:val="002A6887"/>
    <w:rsid w:val="002A6CB0"/>
    <w:rsid w:val="002A70C7"/>
    <w:rsid w:val="002A750D"/>
    <w:rsid w:val="002B1B9E"/>
    <w:rsid w:val="002B34D5"/>
    <w:rsid w:val="002B3768"/>
    <w:rsid w:val="002B4977"/>
    <w:rsid w:val="002B6B83"/>
    <w:rsid w:val="002B753A"/>
    <w:rsid w:val="002B7D3C"/>
    <w:rsid w:val="002C07AB"/>
    <w:rsid w:val="002C1F58"/>
    <w:rsid w:val="002C2D1D"/>
    <w:rsid w:val="002C46B8"/>
    <w:rsid w:val="002C4A69"/>
    <w:rsid w:val="002C594F"/>
    <w:rsid w:val="002C6532"/>
    <w:rsid w:val="002C6C9E"/>
    <w:rsid w:val="002C6D8D"/>
    <w:rsid w:val="002C70E3"/>
    <w:rsid w:val="002C7B78"/>
    <w:rsid w:val="002D0EC0"/>
    <w:rsid w:val="002D44FF"/>
    <w:rsid w:val="002D627A"/>
    <w:rsid w:val="002D6642"/>
    <w:rsid w:val="002D67E2"/>
    <w:rsid w:val="002D6B86"/>
    <w:rsid w:val="002D758A"/>
    <w:rsid w:val="002D794E"/>
    <w:rsid w:val="002E0A81"/>
    <w:rsid w:val="002E0FE3"/>
    <w:rsid w:val="002E18AA"/>
    <w:rsid w:val="002E1A75"/>
    <w:rsid w:val="002E1C5F"/>
    <w:rsid w:val="002E1FB2"/>
    <w:rsid w:val="002E2459"/>
    <w:rsid w:val="002E2CED"/>
    <w:rsid w:val="002E2FD5"/>
    <w:rsid w:val="002E450E"/>
    <w:rsid w:val="002E5EAB"/>
    <w:rsid w:val="002E662D"/>
    <w:rsid w:val="002E6754"/>
    <w:rsid w:val="002E70DF"/>
    <w:rsid w:val="002E73A3"/>
    <w:rsid w:val="002E798C"/>
    <w:rsid w:val="002F1A43"/>
    <w:rsid w:val="002F2826"/>
    <w:rsid w:val="002F28C1"/>
    <w:rsid w:val="002F334B"/>
    <w:rsid w:val="002F3BBF"/>
    <w:rsid w:val="002F400F"/>
    <w:rsid w:val="002F4BB8"/>
    <w:rsid w:val="002F6726"/>
    <w:rsid w:val="002F74E8"/>
    <w:rsid w:val="002F7878"/>
    <w:rsid w:val="002F7BD7"/>
    <w:rsid w:val="00300B8B"/>
    <w:rsid w:val="00300E34"/>
    <w:rsid w:val="00301251"/>
    <w:rsid w:val="00302C2E"/>
    <w:rsid w:val="00303A4C"/>
    <w:rsid w:val="003050F3"/>
    <w:rsid w:val="0030534A"/>
    <w:rsid w:val="00305E3C"/>
    <w:rsid w:val="00306622"/>
    <w:rsid w:val="003108E3"/>
    <w:rsid w:val="00312D47"/>
    <w:rsid w:val="003130A1"/>
    <w:rsid w:val="003146B7"/>
    <w:rsid w:val="0031480F"/>
    <w:rsid w:val="0031590D"/>
    <w:rsid w:val="003200D7"/>
    <w:rsid w:val="00321467"/>
    <w:rsid w:val="00321484"/>
    <w:rsid w:val="00322AD9"/>
    <w:rsid w:val="00323290"/>
    <w:rsid w:val="00323A93"/>
    <w:rsid w:val="00323BB4"/>
    <w:rsid w:val="003245A9"/>
    <w:rsid w:val="00324AEC"/>
    <w:rsid w:val="003259B3"/>
    <w:rsid w:val="00327A0A"/>
    <w:rsid w:val="00331632"/>
    <w:rsid w:val="00331B82"/>
    <w:rsid w:val="00332196"/>
    <w:rsid w:val="0033286E"/>
    <w:rsid w:val="003339CB"/>
    <w:rsid w:val="00333AEC"/>
    <w:rsid w:val="0033412E"/>
    <w:rsid w:val="0033483E"/>
    <w:rsid w:val="003353EF"/>
    <w:rsid w:val="003363D7"/>
    <w:rsid w:val="00337277"/>
    <w:rsid w:val="00337A9F"/>
    <w:rsid w:val="003421AD"/>
    <w:rsid w:val="003423B1"/>
    <w:rsid w:val="0034273A"/>
    <w:rsid w:val="003427F3"/>
    <w:rsid w:val="00342921"/>
    <w:rsid w:val="00342ECC"/>
    <w:rsid w:val="00344BA7"/>
    <w:rsid w:val="00345538"/>
    <w:rsid w:val="0034735C"/>
    <w:rsid w:val="0035040A"/>
    <w:rsid w:val="0035078A"/>
    <w:rsid w:val="00350AD8"/>
    <w:rsid w:val="0035339B"/>
    <w:rsid w:val="00354644"/>
    <w:rsid w:val="00354F8F"/>
    <w:rsid w:val="00355DF9"/>
    <w:rsid w:val="0035613B"/>
    <w:rsid w:val="00356F57"/>
    <w:rsid w:val="003573B2"/>
    <w:rsid w:val="00360AC0"/>
    <w:rsid w:val="00361411"/>
    <w:rsid w:val="00361AE5"/>
    <w:rsid w:val="003622DB"/>
    <w:rsid w:val="0036292D"/>
    <w:rsid w:val="00367E37"/>
    <w:rsid w:val="003703CE"/>
    <w:rsid w:val="0037042D"/>
    <w:rsid w:val="00371E79"/>
    <w:rsid w:val="00372CB4"/>
    <w:rsid w:val="00373104"/>
    <w:rsid w:val="00374081"/>
    <w:rsid w:val="0037468A"/>
    <w:rsid w:val="00374E5E"/>
    <w:rsid w:val="003753ED"/>
    <w:rsid w:val="00375BF2"/>
    <w:rsid w:val="00376A58"/>
    <w:rsid w:val="00376D4B"/>
    <w:rsid w:val="003774A1"/>
    <w:rsid w:val="0037763F"/>
    <w:rsid w:val="00377C0A"/>
    <w:rsid w:val="00380F01"/>
    <w:rsid w:val="00381252"/>
    <w:rsid w:val="003817BB"/>
    <w:rsid w:val="00384480"/>
    <w:rsid w:val="00385792"/>
    <w:rsid w:val="00386FEB"/>
    <w:rsid w:val="00390097"/>
    <w:rsid w:val="0039110C"/>
    <w:rsid w:val="003928BD"/>
    <w:rsid w:val="003933CB"/>
    <w:rsid w:val="003935C1"/>
    <w:rsid w:val="0039371C"/>
    <w:rsid w:val="00393D69"/>
    <w:rsid w:val="00394B88"/>
    <w:rsid w:val="00395F85"/>
    <w:rsid w:val="003967E3"/>
    <w:rsid w:val="00396A19"/>
    <w:rsid w:val="003972EF"/>
    <w:rsid w:val="00397E3D"/>
    <w:rsid w:val="003A08ED"/>
    <w:rsid w:val="003A10E9"/>
    <w:rsid w:val="003A14A2"/>
    <w:rsid w:val="003A44DB"/>
    <w:rsid w:val="003A528A"/>
    <w:rsid w:val="003B0307"/>
    <w:rsid w:val="003B0B97"/>
    <w:rsid w:val="003B17D6"/>
    <w:rsid w:val="003B1A05"/>
    <w:rsid w:val="003B1C46"/>
    <w:rsid w:val="003B225A"/>
    <w:rsid w:val="003B2A1D"/>
    <w:rsid w:val="003B49B5"/>
    <w:rsid w:val="003B527D"/>
    <w:rsid w:val="003B6BF4"/>
    <w:rsid w:val="003B70A4"/>
    <w:rsid w:val="003C03C4"/>
    <w:rsid w:val="003C3DBD"/>
    <w:rsid w:val="003C4418"/>
    <w:rsid w:val="003C5227"/>
    <w:rsid w:val="003C6195"/>
    <w:rsid w:val="003C6394"/>
    <w:rsid w:val="003C675F"/>
    <w:rsid w:val="003C68F8"/>
    <w:rsid w:val="003D07E6"/>
    <w:rsid w:val="003D13AF"/>
    <w:rsid w:val="003D3F2B"/>
    <w:rsid w:val="003D4246"/>
    <w:rsid w:val="003D4CCA"/>
    <w:rsid w:val="003D65CC"/>
    <w:rsid w:val="003D6C53"/>
    <w:rsid w:val="003D7B69"/>
    <w:rsid w:val="003E019D"/>
    <w:rsid w:val="003E0669"/>
    <w:rsid w:val="003E40D3"/>
    <w:rsid w:val="003E47D2"/>
    <w:rsid w:val="003E4A21"/>
    <w:rsid w:val="003E5D91"/>
    <w:rsid w:val="003E67F6"/>
    <w:rsid w:val="003E6AC2"/>
    <w:rsid w:val="003E700B"/>
    <w:rsid w:val="003F04A3"/>
    <w:rsid w:val="003F1167"/>
    <w:rsid w:val="003F25A1"/>
    <w:rsid w:val="003F351B"/>
    <w:rsid w:val="003F382D"/>
    <w:rsid w:val="003F4FC8"/>
    <w:rsid w:val="003F6CA1"/>
    <w:rsid w:val="003F76FA"/>
    <w:rsid w:val="004012BC"/>
    <w:rsid w:val="0040560D"/>
    <w:rsid w:val="00406892"/>
    <w:rsid w:val="004077B9"/>
    <w:rsid w:val="004109C7"/>
    <w:rsid w:val="0041164B"/>
    <w:rsid w:val="004122AE"/>
    <w:rsid w:val="00412748"/>
    <w:rsid w:val="004137CD"/>
    <w:rsid w:val="004145A8"/>
    <w:rsid w:val="00414671"/>
    <w:rsid w:val="004151E9"/>
    <w:rsid w:val="00416B9E"/>
    <w:rsid w:val="00417440"/>
    <w:rsid w:val="00417733"/>
    <w:rsid w:val="00417E61"/>
    <w:rsid w:val="00420D18"/>
    <w:rsid w:val="004212C7"/>
    <w:rsid w:val="00421ADC"/>
    <w:rsid w:val="00422F90"/>
    <w:rsid w:val="00423F96"/>
    <w:rsid w:val="004248B8"/>
    <w:rsid w:val="00424983"/>
    <w:rsid w:val="0042592F"/>
    <w:rsid w:val="004267A7"/>
    <w:rsid w:val="00427F60"/>
    <w:rsid w:val="004302A9"/>
    <w:rsid w:val="00432D02"/>
    <w:rsid w:val="004353A2"/>
    <w:rsid w:val="0043778B"/>
    <w:rsid w:val="004379A2"/>
    <w:rsid w:val="00440871"/>
    <w:rsid w:val="00440DDF"/>
    <w:rsid w:val="004422E0"/>
    <w:rsid w:val="00442593"/>
    <w:rsid w:val="004436E7"/>
    <w:rsid w:val="00443EB2"/>
    <w:rsid w:val="0044444D"/>
    <w:rsid w:val="00444E28"/>
    <w:rsid w:val="00445CED"/>
    <w:rsid w:val="004460E4"/>
    <w:rsid w:val="004465DA"/>
    <w:rsid w:val="0044751D"/>
    <w:rsid w:val="00452205"/>
    <w:rsid w:val="00453452"/>
    <w:rsid w:val="0045452C"/>
    <w:rsid w:val="00454D34"/>
    <w:rsid w:val="00454F51"/>
    <w:rsid w:val="0045589C"/>
    <w:rsid w:val="00456165"/>
    <w:rsid w:val="00460169"/>
    <w:rsid w:val="00460839"/>
    <w:rsid w:val="004617F0"/>
    <w:rsid w:val="00462A26"/>
    <w:rsid w:val="00462D43"/>
    <w:rsid w:val="00462FF1"/>
    <w:rsid w:val="0046343E"/>
    <w:rsid w:val="004663F4"/>
    <w:rsid w:val="0046660E"/>
    <w:rsid w:val="00467960"/>
    <w:rsid w:val="004709AC"/>
    <w:rsid w:val="00471793"/>
    <w:rsid w:val="004717BD"/>
    <w:rsid w:val="00472DE0"/>
    <w:rsid w:val="00472E66"/>
    <w:rsid w:val="004733F7"/>
    <w:rsid w:val="004736EE"/>
    <w:rsid w:val="00473864"/>
    <w:rsid w:val="00473B0A"/>
    <w:rsid w:val="00474312"/>
    <w:rsid w:val="00474316"/>
    <w:rsid w:val="00475686"/>
    <w:rsid w:val="0047594B"/>
    <w:rsid w:val="00476CBE"/>
    <w:rsid w:val="00477671"/>
    <w:rsid w:val="00477E5A"/>
    <w:rsid w:val="004801A7"/>
    <w:rsid w:val="00480859"/>
    <w:rsid w:val="0048092C"/>
    <w:rsid w:val="00480AB2"/>
    <w:rsid w:val="00480AD0"/>
    <w:rsid w:val="00480AEF"/>
    <w:rsid w:val="004815F6"/>
    <w:rsid w:val="00481DB5"/>
    <w:rsid w:val="00482F41"/>
    <w:rsid w:val="0048328F"/>
    <w:rsid w:val="00484299"/>
    <w:rsid w:val="004842F0"/>
    <w:rsid w:val="00487DD4"/>
    <w:rsid w:val="004901AF"/>
    <w:rsid w:val="004905C7"/>
    <w:rsid w:val="004914E3"/>
    <w:rsid w:val="00491F45"/>
    <w:rsid w:val="00491F66"/>
    <w:rsid w:val="004927D0"/>
    <w:rsid w:val="00492F1A"/>
    <w:rsid w:val="0049436A"/>
    <w:rsid w:val="00494ED2"/>
    <w:rsid w:val="004961A7"/>
    <w:rsid w:val="0049641E"/>
    <w:rsid w:val="004966C0"/>
    <w:rsid w:val="004A0090"/>
    <w:rsid w:val="004A071B"/>
    <w:rsid w:val="004A1D4F"/>
    <w:rsid w:val="004A3A57"/>
    <w:rsid w:val="004A4134"/>
    <w:rsid w:val="004A5353"/>
    <w:rsid w:val="004A5755"/>
    <w:rsid w:val="004A62C5"/>
    <w:rsid w:val="004A760C"/>
    <w:rsid w:val="004A7BD0"/>
    <w:rsid w:val="004B3356"/>
    <w:rsid w:val="004B5A74"/>
    <w:rsid w:val="004B6436"/>
    <w:rsid w:val="004B7847"/>
    <w:rsid w:val="004C0B62"/>
    <w:rsid w:val="004C0F12"/>
    <w:rsid w:val="004C1BA8"/>
    <w:rsid w:val="004C3F25"/>
    <w:rsid w:val="004C4B73"/>
    <w:rsid w:val="004C649A"/>
    <w:rsid w:val="004C7714"/>
    <w:rsid w:val="004C7E8D"/>
    <w:rsid w:val="004D137E"/>
    <w:rsid w:val="004D1BAB"/>
    <w:rsid w:val="004D2289"/>
    <w:rsid w:val="004D2480"/>
    <w:rsid w:val="004D2E0C"/>
    <w:rsid w:val="004D2FB2"/>
    <w:rsid w:val="004D3535"/>
    <w:rsid w:val="004D3ADB"/>
    <w:rsid w:val="004D5931"/>
    <w:rsid w:val="004D729D"/>
    <w:rsid w:val="004D76C4"/>
    <w:rsid w:val="004E140C"/>
    <w:rsid w:val="004E1987"/>
    <w:rsid w:val="004E1D63"/>
    <w:rsid w:val="004E27F0"/>
    <w:rsid w:val="004E29E1"/>
    <w:rsid w:val="004E2E09"/>
    <w:rsid w:val="004E4C19"/>
    <w:rsid w:val="004E4CDF"/>
    <w:rsid w:val="004E4FAD"/>
    <w:rsid w:val="004E5B4F"/>
    <w:rsid w:val="004E7AA7"/>
    <w:rsid w:val="004F1467"/>
    <w:rsid w:val="004F2D65"/>
    <w:rsid w:val="004F505C"/>
    <w:rsid w:val="004F5AC6"/>
    <w:rsid w:val="004F6308"/>
    <w:rsid w:val="004F6A3C"/>
    <w:rsid w:val="00500B0C"/>
    <w:rsid w:val="00501838"/>
    <w:rsid w:val="0050190D"/>
    <w:rsid w:val="00501B31"/>
    <w:rsid w:val="005023DA"/>
    <w:rsid w:val="00504746"/>
    <w:rsid w:val="00504F87"/>
    <w:rsid w:val="0050708F"/>
    <w:rsid w:val="00507519"/>
    <w:rsid w:val="005079A1"/>
    <w:rsid w:val="00513007"/>
    <w:rsid w:val="00513B5E"/>
    <w:rsid w:val="00514FA6"/>
    <w:rsid w:val="00516D60"/>
    <w:rsid w:val="00517854"/>
    <w:rsid w:val="005218F0"/>
    <w:rsid w:val="00522E2F"/>
    <w:rsid w:val="00523020"/>
    <w:rsid w:val="00523621"/>
    <w:rsid w:val="00523F91"/>
    <w:rsid w:val="0052439A"/>
    <w:rsid w:val="00526CD3"/>
    <w:rsid w:val="00527545"/>
    <w:rsid w:val="00527DD1"/>
    <w:rsid w:val="00527FF1"/>
    <w:rsid w:val="005313B1"/>
    <w:rsid w:val="00532304"/>
    <w:rsid w:val="00532BFE"/>
    <w:rsid w:val="0053303E"/>
    <w:rsid w:val="0053465B"/>
    <w:rsid w:val="00534967"/>
    <w:rsid w:val="00534F89"/>
    <w:rsid w:val="00537C1C"/>
    <w:rsid w:val="00540E9A"/>
    <w:rsid w:val="0054194D"/>
    <w:rsid w:val="00541C8E"/>
    <w:rsid w:val="00542C9D"/>
    <w:rsid w:val="00544388"/>
    <w:rsid w:val="005446C8"/>
    <w:rsid w:val="00544C83"/>
    <w:rsid w:val="00545696"/>
    <w:rsid w:val="00545823"/>
    <w:rsid w:val="0054601F"/>
    <w:rsid w:val="00546878"/>
    <w:rsid w:val="00547744"/>
    <w:rsid w:val="00552927"/>
    <w:rsid w:val="00553007"/>
    <w:rsid w:val="00553BE5"/>
    <w:rsid w:val="00554D2E"/>
    <w:rsid w:val="0055556F"/>
    <w:rsid w:val="00556062"/>
    <w:rsid w:val="005561FD"/>
    <w:rsid w:val="00557659"/>
    <w:rsid w:val="005576F2"/>
    <w:rsid w:val="005578D5"/>
    <w:rsid w:val="005601AD"/>
    <w:rsid w:val="0056350E"/>
    <w:rsid w:val="005639AE"/>
    <w:rsid w:val="00563B35"/>
    <w:rsid w:val="005640D1"/>
    <w:rsid w:val="00564DD7"/>
    <w:rsid w:val="00565A31"/>
    <w:rsid w:val="00565CA4"/>
    <w:rsid w:val="00566331"/>
    <w:rsid w:val="0056667E"/>
    <w:rsid w:val="00566787"/>
    <w:rsid w:val="005713E2"/>
    <w:rsid w:val="00572CE3"/>
    <w:rsid w:val="00572EA6"/>
    <w:rsid w:val="00573313"/>
    <w:rsid w:val="0057342C"/>
    <w:rsid w:val="00573817"/>
    <w:rsid w:val="00574D7A"/>
    <w:rsid w:val="00574FF8"/>
    <w:rsid w:val="005762E3"/>
    <w:rsid w:val="00577FA1"/>
    <w:rsid w:val="00580979"/>
    <w:rsid w:val="00580AED"/>
    <w:rsid w:val="00580E82"/>
    <w:rsid w:val="00581DCC"/>
    <w:rsid w:val="00582E25"/>
    <w:rsid w:val="00583BF6"/>
    <w:rsid w:val="00583E64"/>
    <w:rsid w:val="0058432A"/>
    <w:rsid w:val="00584A4E"/>
    <w:rsid w:val="005851D0"/>
    <w:rsid w:val="00585C49"/>
    <w:rsid w:val="00585FE3"/>
    <w:rsid w:val="00590BA6"/>
    <w:rsid w:val="00590EDE"/>
    <w:rsid w:val="00591C32"/>
    <w:rsid w:val="00592360"/>
    <w:rsid w:val="00592B65"/>
    <w:rsid w:val="00592B6E"/>
    <w:rsid w:val="0059443D"/>
    <w:rsid w:val="0059445F"/>
    <w:rsid w:val="0059638E"/>
    <w:rsid w:val="00596D2B"/>
    <w:rsid w:val="00597A45"/>
    <w:rsid w:val="00597AE1"/>
    <w:rsid w:val="005A0759"/>
    <w:rsid w:val="005A0833"/>
    <w:rsid w:val="005A08AD"/>
    <w:rsid w:val="005A14F3"/>
    <w:rsid w:val="005A38E5"/>
    <w:rsid w:val="005A4E63"/>
    <w:rsid w:val="005A6922"/>
    <w:rsid w:val="005A6F7F"/>
    <w:rsid w:val="005B11E2"/>
    <w:rsid w:val="005B153C"/>
    <w:rsid w:val="005B1D28"/>
    <w:rsid w:val="005B32CD"/>
    <w:rsid w:val="005B34F2"/>
    <w:rsid w:val="005B5141"/>
    <w:rsid w:val="005B583E"/>
    <w:rsid w:val="005B64E4"/>
    <w:rsid w:val="005B6839"/>
    <w:rsid w:val="005B6B99"/>
    <w:rsid w:val="005B7F3C"/>
    <w:rsid w:val="005C1BF4"/>
    <w:rsid w:val="005C1D22"/>
    <w:rsid w:val="005C1FAD"/>
    <w:rsid w:val="005C2883"/>
    <w:rsid w:val="005C2C67"/>
    <w:rsid w:val="005C3A2C"/>
    <w:rsid w:val="005C482C"/>
    <w:rsid w:val="005C51AB"/>
    <w:rsid w:val="005C6ACF"/>
    <w:rsid w:val="005C6F94"/>
    <w:rsid w:val="005D0ADD"/>
    <w:rsid w:val="005D1029"/>
    <w:rsid w:val="005D15A1"/>
    <w:rsid w:val="005D1D5D"/>
    <w:rsid w:val="005D2668"/>
    <w:rsid w:val="005D27F9"/>
    <w:rsid w:val="005D2FC0"/>
    <w:rsid w:val="005D3069"/>
    <w:rsid w:val="005D31CC"/>
    <w:rsid w:val="005D37C1"/>
    <w:rsid w:val="005D3B49"/>
    <w:rsid w:val="005D527F"/>
    <w:rsid w:val="005D7867"/>
    <w:rsid w:val="005D7A5D"/>
    <w:rsid w:val="005E06D7"/>
    <w:rsid w:val="005E0DCE"/>
    <w:rsid w:val="005E2762"/>
    <w:rsid w:val="005E334F"/>
    <w:rsid w:val="005E362C"/>
    <w:rsid w:val="005E49EB"/>
    <w:rsid w:val="005E54B3"/>
    <w:rsid w:val="005E627D"/>
    <w:rsid w:val="005E7AD2"/>
    <w:rsid w:val="005F1073"/>
    <w:rsid w:val="005F11FE"/>
    <w:rsid w:val="005F158B"/>
    <w:rsid w:val="005F1757"/>
    <w:rsid w:val="005F1796"/>
    <w:rsid w:val="005F1865"/>
    <w:rsid w:val="005F260E"/>
    <w:rsid w:val="005F2CEB"/>
    <w:rsid w:val="005F3F75"/>
    <w:rsid w:val="005F4118"/>
    <w:rsid w:val="005F445C"/>
    <w:rsid w:val="005F49E6"/>
    <w:rsid w:val="005F5072"/>
    <w:rsid w:val="005F54EB"/>
    <w:rsid w:val="005F6B61"/>
    <w:rsid w:val="005F6FA0"/>
    <w:rsid w:val="006006F0"/>
    <w:rsid w:val="00601CBA"/>
    <w:rsid w:val="00603F61"/>
    <w:rsid w:val="00604A11"/>
    <w:rsid w:val="00604E04"/>
    <w:rsid w:val="006055B3"/>
    <w:rsid w:val="0060684C"/>
    <w:rsid w:val="006068AE"/>
    <w:rsid w:val="0060690C"/>
    <w:rsid w:val="00606A5D"/>
    <w:rsid w:val="00607A73"/>
    <w:rsid w:val="00610BAE"/>
    <w:rsid w:val="00611960"/>
    <w:rsid w:val="00611CC5"/>
    <w:rsid w:val="00612F45"/>
    <w:rsid w:val="0061389A"/>
    <w:rsid w:val="0061525F"/>
    <w:rsid w:val="006153C6"/>
    <w:rsid w:val="00615867"/>
    <w:rsid w:val="00616E5B"/>
    <w:rsid w:val="006176FB"/>
    <w:rsid w:val="006206EF"/>
    <w:rsid w:val="00620720"/>
    <w:rsid w:val="0062097C"/>
    <w:rsid w:val="00620DCA"/>
    <w:rsid w:val="00621451"/>
    <w:rsid w:val="006236B1"/>
    <w:rsid w:val="00625E51"/>
    <w:rsid w:val="00626222"/>
    <w:rsid w:val="00626B25"/>
    <w:rsid w:val="00626CF9"/>
    <w:rsid w:val="00627495"/>
    <w:rsid w:val="00627F19"/>
    <w:rsid w:val="006303C5"/>
    <w:rsid w:val="00630A07"/>
    <w:rsid w:val="0063185D"/>
    <w:rsid w:val="00631C27"/>
    <w:rsid w:val="006359A9"/>
    <w:rsid w:val="00636A23"/>
    <w:rsid w:val="00636E48"/>
    <w:rsid w:val="006375DD"/>
    <w:rsid w:val="006377BA"/>
    <w:rsid w:val="00637B8A"/>
    <w:rsid w:val="006412E7"/>
    <w:rsid w:val="00641CAE"/>
    <w:rsid w:val="00641FCE"/>
    <w:rsid w:val="00643124"/>
    <w:rsid w:val="00644159"/>
    <w:rsid w:val="0064794E"/>
    <w:rsid w:val="00647EB1"/>
    <w:rsid w:val="00651280"/>
    <w:rsid w:val="00652DCD"/>
    <w:rsid w:val="00652E47"/>
    <w:rsid w:val="006536F0"/>
    <w:rsid w:val="00653C22"/>
    <w:rsid w:val="00654197"/>
    <w:rsid w:val="00654A64"/>
    <w:rsid w:val="006550F5"/>
    <w:rsid w:val="00655C45"/>
    <w:rsid w:val="0065681E"/>
    <w:rsid w:val="00657C7D"/>
    <w:rsid w:val="00661127"/>
    <w:rsid w:val="00661FBE"/>
    <w:rsid w:val="00666AA4"/>
    <w:rsid w:val="00666ADC"/>
    <w:rsid w:val="00666F41"/>
    <w:rsid w:val="006674E2"/>
    <w:rsid w:val="006701F4"/>
    <w:rsid w:val="00670CDB"/>
    <w:rsid w:val="00671212"/>
    <w:rsid w:val="006725CD"/>
    <w:rsid w:val="00672F4F"/>
    <w:rsid w:val="0067491D"/>
    <w:rsid w:val="006772FF"/>
    <w:rsid w:val="006806CB"/>
    <w:rsid w:val="00681853"/>
    <w:rsid w:val="00681B72"/>
    <w:rsid w:val="00684F22"/>
    <w:rsid w:val="00685F77"/>
    <w:rsid w:val="00686AC0"/>
    <w:rsid w:val="00687931"/>
    <w:rsid w:val="00690901"/>
    <w:rsid w:val="00691339"/>
    <w:rsid w:val="00691946"/>
    <w:rsid w:val="006926B6"/>
    <w:rsid w:val="00694B42"/>
    <w:rsid w:val="00695F73"/>
    <w:rsid w:val="0069780B"/>
    <w:rsid w:val="006A10EF"/>
    <w:rsid w:val="006A1255"/>
    <w:rsid w:val="006A131B"/>
    <w:rsid w:val="006A25E2"/>
    <w:rsid w:val="006A31B0"/>
    <w:rsid w:val="006A3999"/>
    <w:rsid w:val="006A3BE1"/>
    <w:rsid w:val="006A4F3F"/>
    <w:rsid w:val="006A6B11"/>
    <w:rsid w:val="006A6CAB"/>
    <w:rsid w:val="006A7F50"/>
    <w:rsid w:val="006B05E8"/>
    <w:rsid w:val="006B07DC"/>
    <w:rsid w:val="006B0F42"/>
    <w:rsid w:val="006B0F53"/>
    <w:rsid w:val="006B135C"/>
    <w:rsid w:val="006B1811"/>
    <w:rsid w:val="006B1F45"/>
    <w:rsid w:val="006B1FFD"/>
    <w:rsid w:val="006B38B8"/>
    <w:rsid w:val="006B46B6"/>
    <w:rsid w:val="006B4AA6"/>
    <w:rsid w:val="006B5B61"/>
    <w:rsid w:val="006B5EB6"/>
    <w:rsid w:val="006C0988"/>
    <w:rsid w:val="006C19E1"/>
    <w:rsid w:val="006C43C0"/>
    <w:rsid w:val="006C4B7E"/>
    <w:rsid w:val="006C6739"/>
    <w:rsid w:val="006C7162"/>
    <w:rsid w:val="006D1B8C"/>
    <w:rsid w:val="006D22AA"/>
    <w:rsid w:val="006D242D"/>
    <w:rsid w:val="006D3035"/>
    <w:rsid w:val="006D5F25"/>
    <w:rsid w:val="006D6A57"/>
    <w:rsid w:val="006E1103"/>
    <w:rsid w:val="006E33B1"/>
    <w:rsid w:val="006E43C2"/>
    <w:rsid w:val="006E686C"/>
    <w:rsid w:val="006E70EB"/>
    <w:rsid w:val="006E7268"/>
    <w:rsid w:val="006E7C45"/>
    <w:rsid w:val="006F0429"/>
    <w:rsid w:val="006F07FF"/>
    <w:rsid w:val="006F1930"/>
    <w:rsid w:val="006F1A05"/>
    <w:rsid w:val="006F2470"/>
    <w:rsid w:val="006F2717"/>
    <w:rsid w:val="006F43A8"/>
    <w:rsid w:val="006F4A89"/>
    <w:rsid w:val="006F4E45"/>
    <w:rsid w:val="006F4E97"/>
    <w:rsid w:val="006F5F25"/>
    <w:rsid w:val="006F6562"/>
    <w:rsid w:val="006F7D9E"/>
    <w:rsid w:val="0070077F"/>
    <w:rsid w:val="007021AB"/>
    <w:rsid w:val="0070281E"/>
    <w:rsid w:val="00704236"/>
    <w:rsid w:val="007044F1"/>
    <w:rsid w:val="00704B55"/>
    <w:rsid w:val="00705037"/>
    <w:rsid w:val="0070529F"/>
    <w:rsid w:val="007052D2"/>
    <w:rsid w:val="00710661"/>
    <w:rsid w:val="0071248E"/>
    <w:rsid w:val="007131F0"/>
    <w:rsid w:val="0071347A"/>
    <w:rsid w:val="00714394"/>
    <w:rsid w:val="00715008"/>
    <w:rsid w:val="007154D9"/>
    <w:rsid w:val="0071552D"/>
    <w:rsid w:val="0071674C"/>
    <w:rsid w:val="0071677D"/>
    <w:rsid w:val="00717339"/>
    <w:rsid w:val="00717370"/>
    <w:rsid w:val="00720AD8"/>
    <w:rsid w:val="0072162D"/>
    <w:rsid w:val="007239F7"/>
    <w:rsid w:val="00726477"/>
    <w:rsid w:val="00726894"/>
    <w:rsid w:val="0073059C"/>
    <w:rsid w:val="00730DD1"/>
    <w:rsid w:val="0073164B"/>
    <w:rsid w:val="00731810"/>
    <w:rsid w:val="00732FB8"/>
    <w:rsid w:val="00733D64"/>
    <w:rsid w:val="0073404B"/>
    <w:rsid w:val="00734C00"/>
    <w:rsid w:val="00734F25"/>
    <w:rsid w:val="00734FE2"/>
    <w:rsid w:val="00736D9D"/>
    <w:rsid w:val="00737A7D"/>
    <w:rsid w:val="007408C6"/>
    <w:rsid w:val="0074162D"/>
    <w:rsid w:val="00741C26"/>
    <w:rsid w:val="00741CF6"/>
    <w:rsid w:val="00741DF0"/>
    <w:rsid w:val="007420FE"/>
    <w:rsid w:val="007422C8"/>
    <w:rsid w:val="00742486"/>
    <w:rsid w:val="007427BE"/>
    <w:rsid w:val="007440C6"/>
    <w:rsid w:val="007442E4"/>
    <w:rsid w:val="00744915"/>
    <w:rsid w:val="007461FC"/>
    <w:rsid w:val="00746A54"/>
    <w:rsid w:val="00746BFE"/>
    <w:rsid w:val="007475D2"/>
    <w:rsid w:val="00747F5D"/>
    <w:rsid w:val="0075039E"/>
    <w:rsid w:val="00750A64"/>
    <w:rsid w:val="00751D58"/>
    <w:rsid w:val="0075308B"/>
    <w:rsid w:val="00753213"/>
    <w:rsid w:val="007532BF"/>
    <w:rsid w:val="00754A7D"/>
    <w:rsid w:val="00754E95"/>
    <w:rsid w:val="007552BD"/>
    <w:rsid w:val="007559A4"/>
    <w:rsid w:val="0075759A"/>
    <w:rsid w:val="00757B16"/>
    <w:rsid w:val="00760353"/>
    <w:rsid w:val="0076144B"/>
    <w:rsid w:val="00761E67"/>
    <w:rsid w:val="00763B1C"/>
    <w:rsid w:val="007644DC"/>
    <w:rsid w:val="00764D5C"/>
    <w:rsid w:val="00765AE1"/>
    <w:rsid w:val="00766552"/>
    <w:rsid w:val="00767994"/>
    <w:rsid w:val="0077108B"/>
    <w:rsid w:val="00771875"/>
    <w:rsid w:val="00772B7C"/>
    <w:rsid w:val="00773414"/>
    <w:rsid w:val="007740D9"/>
    <w:rsid w:val="00774A32"/>
    <w:rsid w:val="00775530"/>
    <w:rsid w:val="00775C4C"/>
    <w:rsid w:val="00776445"/>
    <w:rsid w:val="00776561"/>
    <w:rsid w:val="00780A57"/>
    <w:rsid w:val="007825BE"/>
    <w:rsid w:val="007832E4"/>
    <w:rsid w:val="0078452E"/>
    <w:rsid w:val="007859AC"/>
    <w:rsid w:val="00785E0A"/>
    <w:rsid w:val="007874D6"/>
    <w:rsid w:val="00790EED"/>
    <w:rsid w:val="00791DCF"/>
    <w:rsid w:val="007921B5"/>
    <w:rsid w:val="007933CF"/>
    <w:rsid w:val="00794054"/>
    <w:rsid w:val="00794485"/>
    <w:rsid w:val="00795675"/>
    <w:rsid w:val="00795773"/>
    <w:rsid w:val="007A0143"/>
    <w:rsid w:val="007A1262"/>
    <w:rsid w:val="007A1ACA"/>
    <w:rsid w:val="007A26CF"/>
    <w:rsid w:val="007A26E3"/>
    <w:rsid w:val="007A31D9"/>
    <w:rsid w:val="007A40D1"/>
    <w:rsid w:val="007A51FD"/>
    <w:rsid w:val="007A5278"/>
    <w:rsid w:val="007A5638"/>
    <w:rsid w:val="007A64BD"/>
    <w:rsid w:val="007B0F04"/>
    <w:rsid w:val="007B1045"/>
    <w:rsid w:val="007B4FFA"/>
    <w:rsid w:val="007B6778"/>
    <w:rsid w:val="007B759D"/>
    <w:rsid w:val="007B7B75"/>
    <w:rsid w:val="007C0361"/>
    <w:rsid w:val="007C0C17"/>
    <w:rsid w:val="007C110D"/>
    <w:rsid w:val="007C12B5"/>
    <w:rsid w:val="007C168F"/>
    <w:rsid w:val="007C4AB3"/>
    <w:rsid w:val="007C568F"/>
    <w:rsid w:val="007C56FE"/>
    <w:rsid w:val="007C64CA"/>
    <w:rsid w:val="007C7AF2"/>
    <w:rsid w:val="007D1411"/>
    <w:rsid w:val="007D18AF"/>
    <w:rsid w:val="007D1BE4"/>
    <w:rsid w:val="007D1CEA"/>
    <w:rsid w:val="007D29BE"/>
    <w:rsid w:val="007D3656"/>
    <w:rsid w:val="007D37CF"/>
    <w:rsid w:val="007D42A6"/>
    <w:rsid w:val="007D50DB"/>
    <w:rsid w:val="007D5EA5"/>
    <w:rsid w:val="007D69EC"/>
    <w:rsid w:val="007D79C4"/>
    <w:rsid w:val="007D79D9"/>
    <w:rsid w:val="007E08A9"/>
    <w:rsid w:val="007E12DA"/>
    <w:rsid w:val="007E29C0"/>
    <w:rsid w:val="007E2B67"/>
    <w:rsid w:val="007E4435"/>
    <w:rsid w:val="007E44CF"/>
    <w:rsid w:val="007E4F76"/>
    <w:rsid w:val="007E5110"/>
    <w:rsid w:val="007E71D7"/>
    <w:rsid w:val="007F065B"/>
    <w:rsid w:val="007F07F1"/>
    <w:rsid w:val="007F0EB4"/>
    <w:rsid w:val="007F21B2"/>
    <w:rsid w:val="007F4482"/>
    <w:rsid w:val="007F4EFD"/>
    <w:rsid w:val="007F639D"/>
    <w:rsid w:val="007F7151"/>
    <w:rsid w:val="007F7BF8"/>
    <w:rsid w:val="007F7CF5"/>
    <w:rsid w:val="008018A8"/>
    <w:rsid w:val="00801B1C"/>
    <w:rsid w:val="00801DD2"/>
    <w:rsid w:val="00803187"/>
    <w:rsid w:val="00803330"/>
    <w:rsid w:val="00803B8D"/>
    <w:rsid w:val="00803EFB"/>
    <w:rsid w:val="0080471C"/>
    <w:rsid w:val="008050DA"/>
    <w:rsid w:val="00805831"/>
    <w:rsid w:val="0080607D"/>
    <w:rsid w:val="008064F0"/>
    <w:rsid w:val="008065EC"/>
    <w:rsid w:val="00806712"/>
    <w:rsid w:val="00807ABA"/>
    <w:rsid w:val="008107F5"/>
    <w:rsid w:val="00812EC1"/>
    <w:rsid w:val="00814674"/>
    <w:rsid w:val="00814F02"/>
    <w:rsid w:val="00815EAF"/>
    <w:rsid w:val="00817FE5"/>
    <w:rsid w:val="008212A0"/>
    <w:rsid w:val="008214FF"/>
    <w:rsid w:val="008227B9"/>
    <w:rsid w:val="00826BB5"/>
    <w:rsid w:val="00826BF8"/>
    <w:rsid w:val="00826CA3"/>
    <w:rsid w:val="00827038"/>
    <w:rsid w:val="0082766C"/>
    <w:rsid w:val="00827C7F"/>
    <w:rsid w:val="008310D5"/>
    <w:rsid w:val="00831CDC"/>
    <w:rsid w:val="008322EA"/>
    <w:rsid w:val="00832335"/>
    <w:rsid w:val="00832B23"/>
    <w:rsid w:val="00832C3F"/>
    <w:rsid w:val="00835BC8"/>
    <w:rsid w:val="00836A60"/>
    <w:rsid w:val="00836DF9"/>
    <w:rsid w:val="00837110"/>
    <w:rsid w:val="00837FD9"/>
    <w:rsid w:val="00841AB3"/>
    <w:rsid w:val="00843599"/>
    <w:rsid w:val="0084377C"/>
    <w:rsid w:val="008441A8"/>
    <w:rsid w:val="00845BA8"/>
    <w:rsid w:val="008506B2"/>
    <w:rsid w:val="0085124A"/>
    <w:rsid w:val="0085550F"/>
    <w:rsid w:val="008560BC"/>
    <w:rsid w:val="0085696D"/>
    <w:rsid w:val="00856BCC"/>
    <w:rsid w:val="008604B0"/>
    <w:rsid w:val="00860577"/>
    <w:rsid w:val="00860EBA"/>
    <w:rsid w:val="00860F90"/>
    <w:rsid w:val="0086144B"/>
    <w:rsid w:val="00861631"/>
    <w:rsid w:val="008638DB"/>
    <w:rsid w:val="0086472B"/>
    <w:rsid w:val="008653AF"/>
    <w:rsid w:val="0087014B"/>
    <w:rsid w:val="0087022E"/>
    <w:rsid w:val="008727EA"/>
    <w:rsid w:val="00873C3D"/>
    <w:rsid w:val="008753EC"/>
    <w:rsid w:val="00876F61"/>
    <w:rsid w:val="0088025E"/>
    <w:rsid w:val="00880F44"/>
    <w:rsid w:val="00881AA9"/>
    <w:rsid w:val="008825EE"/>
    <w:rsid w:val="00882D99"/>
    <w:rsid w:val="008846A9"/>
    <w:rsid w:val="008907F4"/>
    <w:rsid w:val="00890B3F"/>
    <w:rsid w:val="008916C7"/>
    <w:rsid w:val="008919B2"/>
    <w:rsid w:val="00891ED0"/>
    <w:rsid w:val="00893261"/>
    <w:rsid w:val="00893A40"/>
    <w:rsid w:val="00894255"/>
    <w:rsid w:val="008A1972"/>
    <w:rsid w:val="008A1CA0"/>
    <w:rsid w:val="008A2CF8"/>
    <w:rsid w:val="008A2DEB"/>
    <w:rsid w:val="008A2F2E"/>
    <w:rsid w:val="008A40BD"/>
    <w:rsid w:val="008A551F"/>
    <w:rsid w:val="008A6D09"/>
    <w:rsid w:val="008A7542"/>
    <w:rsid w:val="008B0F59"/>
    <w:rsid w:val="008B3BB3"/>
    <w:rsid w:val="008B41F0"/>
    <w:rsid w:val="008B5EBE"/>
    <w:rsid w:val="008B6B35"/>
    <w:rsid w:val="008B6D1D"/>
    <w:rsid w:val="008B6F82"/>
    <w:rsid w:val="008C07A6"/>
    <w:rsid w:val="008C18F6"/>
    <w:rsid w:val="008C2544"/>
    <w:rsid w:val="008C2A49"/>
    <w:rsid w:val="008C3805"/>
    <w:rsid w:val="008C4153"/>
    <w:rsid w:val="008C737B"/>
    <w:rsid w:val="008D0071"/>
    <w:rsid w:val="008D0484"/>
    <w:rsid w:val="008D201F"/>
    <w:rsid w:val="008D2691"/>
    <w:rsid w:val="008D4289"/>
    <w:rsid w:val="008D50C2"/>
    <w:rsid w:val="008D68F4"/>
    <w:rsid w:val="008D71FE"/>
    <w:rsid w:val="008E062C"/>
    <w:rsid w:val="008E0BB1"/>
    <w:rsid w:val="008E1518"/>
    <w:rsid w:val="008E1602"/>
    <w:rsid w:val="008E1D40"/>
    <w:rsid w:val="008E4B2C"/>
    <w:rsid w:val="008E75A5"/>
    <w:rsid w:val="008E7800"/>
    <w:rsid w:val="008E79F0"/>
    <w:rsid w:val="008F06DD"/>
    <w:rsid w:val="008F0C61"/>
    <w:rsid w:val="008F16D3"/>
    <w:rsid w:val="008F1A67"/>
    <w:rsid w:val="008F285C"/>
    <w:rsid w:val="008F2A45"/>
    <w:rsid w:val="008F2F64"/>
    <w:rsid w:val="008F5EBE"/>
    <w:rsid w:val="008F6D91"/>
    <w:rsid w:val="008F6FCD"/>
    <w:rsid w:val="008F7919"/>
    <w:rsid w:val="009003C4"/>
    <w:rsid w:val="0090196C"/>
    <w:rsid w:val="009019EB"/>
    <w:rsid w:val="0090253D"/>
    <w:rsid w:val="00903659"/>
    <w:rsid w:val="00904BF0"/>
    <w:rsid w:val="00906218"/>
    <w:rsid w:val="00906B92"/>
    <w:rsid w:val="00907817"/>
    <w:rsid w:val="00910765"/>
    <w:rsid w:val="00910F73"/>
    <w:rsid w:val="009122CB"/>
    <w:rsid w:val="00914E04"/>
    <w:rsid w:val="00916ADA"/>
    <w:rsid w:val="00916C23"/>
    <w:rsid w:val="00917805"/>
    <w:rsid w:val="00917A21"/>
    <w:rsid w:val="00920392"/>
    <w:rsid w:val="00920C81"/>
    <w:rsid w:val="009225B9"/>
    <w:rsid w:val="009235A7"/>
    <w:rsid w:val="009243A8"/>
    <w:rsid w:val="00925537"/>
    <w:rsid w:val="0092637F"/>
    <w:rsid w:val="00927CE5"/>
    <w:rsid w:val="00930B2E"/>
    <w:rsid w:val="00934419"/>
    <w:rsid w:val="00934DE1"/>
    <w:rsid w:val="00934E80"/>
    <w:rsid w:val="00934F0E"/>
    <w:rsid w:val="009355E7"/>
    <w:rsid w:val="00936F31"/>
    <w:rsid w:val="00937241"/>
    <w:rsid w:val="0093747B"/>
    <w:rsid w:val="00937619"/>
    <w:rsid w:val="0094035E"/>
    <w:rsid w:val="009418AC"/>
    <w:rsid w:val="00941F22"/>
    <w:rsid w:val="00942C98"/>
    <w:rsid w:val="00942D82"/>
    <w:rsid w:val="009432B1"/>
    <w:rsid w:val="00944F72"/>
    <w:rsid w:val="00946176"/>
    <w:rsid w:val="0094760D"/>
    <w:rsid w:val="00947D5F"/>
    <w:rsid w:val="009503FF"/>
    <w:rsid w:val="00950464"/>
    <w:rsid w:val="00950D5A"/>
    <w:rsid w:val="00952FFE"/>
    <w:rsid w:val="00953377"/>
    <w:rsid w:val="009534F8"/>
    <w:rsid w:val="009540D0"/>
    <w:rsid w:val="00954E94"/>
    <w:rsid w:val="009550F7"/>
    <w:rsid w:val="00956D78"/>
    <w:rsid w:val="00960A36"/>
    <w:rsid w:val="009621B9"/>
    <w:rsid w:val="00964596"/>
    <w:rsid w:val="009658C8"/>
    <w:rsid w:val="009658D9"/>
    <w:rsid w:val="00966FE0"/>
    <w:rsid w:val="00967BBA"/>
    <w:rsid w:val="009704AD"/>
    <w:rsid w:val="00973E57"/>
    <w:rsid w:val="00973E9B"/>
    <w:rsid w:val="00976D78"/>
    <w:rsid w:val="009771B2"/>
    <w:rsid w:val="00977E38"/>
    <w:rsid w:val="00980D52"/>
    <w:rsid w:val="00981D9E"/>
    <w:rsid w:val="00982ABD"/>
    <w:rsid w:val="00984AF3"/>
    <w:rsid w:val="009850B6"/>
    <w:rsid w:val="009852BD"/>
    <w:rsid w:val="00986F2A"/>
    <w:rsid w:val="00990DF9"/>
    <w:rsid w:val="00991494"/>
    <w:rsid w:val="00991516"/>
    <w:rsid w:val="009918FE"/>
    <w:rsid w:val="009919B7"/>
    <w:rsid w:val="00993EC8"/>
    <w:rsid w:val="00994098"/>
    <w:rsid w:val="00996835"/>
    <w:rsid w:val="00997838"/>
    <w:rsid w:val="009A05ED"/>
    <w:rsid w:val="009A0C6A"/>
    <w:rsid w:val="009A279E"/>
    <w:rsid w:val="009A2BBC"/>
    <w:rsid w:val="009A3FE2"/>
    <w:rsid w:val="009A4447"/>
    <w:rsid w:val="009A472F"/>
    <w:rsid w:val="009A4A03"/>
    <w:rsid w:val="009A4E8D"/>
    <w:rsid w:val="009A50FA"/>
    <w:rsid w:val="009B0129"/>
    <w:rsid w:val="009B027D"/>
    <w:rsid w:val="009B0463"/>
    <w:rsid w:val="009B38B2"/>
    <w:rsid w:val="009B3FAA"/>
    <w:rsid w:val="009B4D0A"/>
    <w:rsid w:val="009B6F68"/>
    <w:rsid w:val="009B7115"/>
    <w:rsid w:val="009B7353"/>
    <w:rsid w:val="009C0BC7"/>
    <w:rsid w:val="009C0C2A"/>
    <w:rsid w:val="009C0F55"/>
    <w:rsid w:val="009C14B3"/>
    <w:rsid w:val="009C1B2C"/>
    <w:rsid w:val="009C3D40"/>
    <w:rsid w:val="009C5CAA"/>
    <w:rsid w:val="009C6C8D"/>
    <w:rsid w:val="009D02F1"/>
    <w:rsid w:val="009D0F6E"/>
    <w:rsid w:val="009D2FC6"/>
    <w:rsid w:val="009D450D"/>
    <w:rsid w:val="009D6C22"/>
    <w:rsid w:val="009D76D5"/>
    <w:rsid w:val="009E0709"/>
    <w:rsid w:val="009E0B5C"/>
    <w:rsid w:val="009E188C"/>
    <w:rsid w:val="009E1FB9"/>
    <w:rsid w:val="009E21EA"/>
    <w:rsid w:val="009E2387"/>
    <w:rsid w:val="009E3A80"/>
    <w:rsid w:val="009E5A37"/>
    <w:rsid w:val="009E643C"/>
    <w:rsid w:val="009E6697"/>
    <w:rsid w:val="009E6BD8"/>
    <w:rsid w:val="009E7604"/>
    <w:rsid w:val="009E7E35"/>
    <w:rsid w:val="009F0E72"/>
    <w:rsid w:val="009F1F0B"/>
    <w:rsid w:val="009F2C6B"/>
    <w:rsid w:val="009F35FE"/>
    <w:rsid w:val="009F43EF"/>
    <w:rsid w:val="009F4424"/>
    <w:rsid w:val="009F4438"/>
    <w:rsid w:val="009F4AD3"/>
    <w:rsid w:val="009F6495"/>
    <w:rsid w:val="00A033A1"/>
    <w:rsid w:val="00A0632B"/>
    <w:rsid w:val="00A06531"/>
    <w:rsid w:val="00A0740C"/>
    <w:rsid w:val="00A07729"/>
    <w:rsid w:val="00A07AE6"/>
    <w:rsid w:val="00A11197"/>
    <w:rsid w:val="00A114C9"/>
    <w:rsid w:val="00A11A9E"/>
    <w:rsid w:val="00A12234"/>
    <w:rsid w:val="00A125F0"/>
    <w:rsid w:val="00A12603"/>
    <w:rsid w:val="00A13A29"/>
    <w:rsid w:val="00A1454A"/>
    <w:rsid w:val="00A15C4E"/>
    <w:rsid w:val="00A16441"/>
    <w:rsid w:val="00A16D91"/>
    <w:rsid w:val="00A1784C"/>
    <w:rsid w:val="00A20BA0"/>
    <w:rsid w:val="00A20C49"/>
    <w:rsid w:val="00A20C67"/>
    <w:rsid w:val="00A20F2C"/>
    <w:rsid w:val="00A2219F"/>
    <w:rsid w:val="00A22D4F"/>
    <w:rsid w:val="00A232FD"/>
    <w:rsid w:val="00A237F6"/>
    <w:rsid w:val="00A23C27"/>
    <w:rsid w:val="00A26220"/>
    <w:rsid w:val="00A26558"/>
    <w:rsid w:val="00A2666A"/>
    <w:rsid w:val="00A2750C"/>
    <w:rsid w:val="00A27A75"/>
    <w:rsid w:val="00A302C6"/>
    <w:rsid w:val="00A308F6"/>
    <w:rsid w:val="00A30D7A"/>
    <w:rsid w:val="00A31337"/>
    <w:rsid w:val="00A328A6"/>
    <w:rsid w:val="00A33AC4"/>
    <w:rsid w:val="00A33C18"/>
    <w:rsid w:val="00A3481E"/>
    <w:rsid w:val="00A355EB"/>
    <w:rsid w:val="00A3591D"/>
    <w:rsid w:val="00A42B81"/>
    <w:rsid w:val="00A43446"/>
    <w:rsid w:val="00A43DDC"/>
    <w:rsid w:val="00A44885"/>
    <w:rsid w:val="00A45145"/>
    <w:rsid w:val="00A45DAB"/>
    <w:rsid w:val="00A46E88"/>
    <w:rsid w:val="00A477A7"/>
    <w:rsid w:val="00A47AC2"/>
    <w:rsid w:val="00A47DC6"/>
    <w:rsid w:val="00A50531"/>
    <w:rsid w:val="00A51A6C"/>
    <w:rsid w:val="00A528D3"/>
    <w:rsid w:val="00A534DF"/>
    <w:rsid w:val="00A5369E"/>
    <w:rsid w:val="00A559D4"/>
    <w:rsid w:val="00A55EAC"/>
    <w:rsid w:val="00A574E9"/>
    <w:rsid w:val="00A60997"/>
    <w:rsid w:val="00A61094"/>
    <w:rsid w:val="00A6116B"/>
    <w:rsid w:val="00A61D21"/>
    <w:rsid w:val="00A6365A"/>
    <w:rsid w:val="00A64766"/>
    <w:rsid w:val="00A65BAD"/>
    <w:rsid w:val="00A65F23"/>
    <w:rsid w:val="00A66717"/>
    <w:rsid w:val="00A668BC"/>
    <w:rsid w:val="00A67D7A"/>
    <w:rsid w:val="00A70B88"/>
    <w:rsid w:val="00A70EED"/>
    <w:rsid w:val="00A711A1"/>
    <w:rsid w:val="00A71FC4"/>
    <w:rsid w:val="00A727D3"/>
    <w:rsid w:val="00A72CC2"/>
    <w:rsid w:val="00A76E5D"/>
    <w:rsid w:val="00A826DF"/>
    <w:rsid w:val="00A835DE"/>
    <w:rsid w:val="00A83609"/>
    <w:rsid w:val="00A83BA8"/>
    <w:rsid w:val="00A84038"/>
    <w:rsid w:val="00A84B03"/>
    <w:rsid w:val="00A8592E"/>
    <w:rsid w:val="00A85CAE"/>
    <w:rsid w:val="00A860A3"/>
    <w:rsid w:val="00A86AFD"/>
    <w:rsid w:val="00A91045"/>
    <w:rsid w:val="00A92D71"/>
    <w:rsid w:val="00A92FFA"/>
    <w:rsid w:val="00A932D5"/>
    <w:rsid w:val="00A93B38"/>
    <w:rsid w:val="00A9408A"/>
    <w:rsid w:val="00A94D57"/>
    <w:rsid w:val="00A95F76"/>
    <w:rsid w:val="00AA1084"/>
    <w:rsid w:val="00AA2A54"/>
    <w:rsid w:val="00AA39FE"/>
    <w:rsid w:val="00AA483E"/>
    <w:rsid w:val="00AA484B"/>
    <w:rsid w:val="00AA4A63"/>
    <w:rsid w:val="00AA4D12"/>
    <w:rsid w:val="00AA5C79"/>
    <w:rsid w:val="00AA5F89"/>
    <w:rsid w:val="00AA62D2"/>
    <w:rsid w:val="00AA6D4B"/>
    <w:rsid w:val="00AA7268"/>
    <w:rsid w:val="00AA7956"/>
    <w:rsid w:val="00AA799C"/>
    <w:rsid w:val="00AB05D8"/>
    <w:rsid w:val="00AB219B"/>
    <w:rsid w:val="00AB3031"/>
    <w:rsid w:val="00AB336C"/>
    <w:rsid w:val="00AB409A"/>
    <w:rsid w:val="00AB4607"/>
    <w:rsid w:val="00AB4A9E"/>
    <w:rsid w:val="00AB5071"/>
    <w:rsid w:val="00AB6A4A"/>
    <w:rsid w:val="00AB74CB"/>
    <w:rsid w:val="00AC02A6"/>
    <w:rsid w:val="00AC03D3"/>
    <w:rsid w:val="00AC0571"/>
    <w:rsid w:val="00AC12EE"/>
    <w:rsid w:val="00AC14B2"/>
    <w:rsid w:val="00AC2CA9"/>
    <w:rsid w:val="00AC331A"/>
    <w:rsid w:val="00AC3E91"/>
    <w:rsid w:val="00AC4EA7"/>
    <w:rsid w:val="00AC6901"/>
    <w:rsid w:val="00AD1932"/>
    <w:rsid w:val="00AD2472"/>
    <w:rsid w:val="00AD36C0"/>
    <w:rsid w:val="00AD396D"/>
    <w:rsid w:val="00AD3E2E"/>
    <w:rsid w:val="00AD49BA"/>
    <w:rsid w:val="00AD4DFE"/>
    <w:rsid w:val="00AD5D58"/>
    <w:rsid w:val="00AD6E8D"/>
    <w:rsid w:val="00AD7BAA"/>
    <w:rsid w:val="00AD7C55"/>
    <w:rsid w:val="00AE1154"/>
    <w:rsid w:val="00AE1F17"/>
    <w:rsid w:val="00AE2B77"/>
    <w:rsid w:val="00AE4365"/>
    <w:rsid w:val="00AE4CE8"/>
    <w:rsid w:val="00AE69D9"/>
    <w:rsid w:val="00AE7DB8"/>
    <w:rsid w:val="00AF29C8"/>
    <w:rsid w:val="00AF2E49"/>
    <w:rsid w:val="00AF2EEF"/>
    <w:rsid w:val="00AF3BE1"/>
    <w:rsid w:val="00AF3CE8"/>
    <w:rsid w:val="00AF53F9"/>
    <w:rsid w:val="00AF5DA4"/>
    <w:rsid w:val="00AF5F07"/>
    <w:rsid w:val="00AF6E31"/>
    <w:rsid w:val="00AF7102"/>
    <w:rsid w:val="00AF71A5"/>
    <w:rsid w:val="00B0051B"/>
    <w:rsid w:val="00B008CA"/>
    <w:rsid w:val="00B00D9A"/>
    <w:rsid w:val="00B02AB3"/>
    <w:rsid w:val="00B02C48"/>
    <w:rsid w:val="00B05A70"/>
    <w:rsid w:val="00B069B4"/>
    <w:rsid w:val="00B06CD5"/>
    <w:rsid w:val="00B074B9"/>
    <w:rsid w:val="00B10A8A"/>
    <w:rsid w:val="00B10E6B"/>
    <w:rsid w:val="00B11A1D"/>
    <w:rsid w:val="00B124A2"/>
    <w:rsid w:val="00B12DA5"/>
    <w:rsid w:val="00B13601"/>
    <w:rsid w:val="00B13DFC"/>
    <w:rsid w:val="00B14520"/>
    <w:rsid w:val="00B14767"/>
    <w:rsid w:val="00B150DC"/>
    <w:rsid w:val="00B158BD"/>
    <w:rsid w:val="00B15FA8"/>
    <w:rsid w:val="00B167AB"/>
    <w:rsid w:val="00B16E2E"/>
    <w:rsid w:val="00B20D1D"/>
    <w:rsid w:val="00B20F2B"/>
    <w:rsid w:val="00B218E0"/>
    <w:rsid w:val="00B2345F"/>
    <w:rsid w:val="00B23509"/>
    <w:rsid w:val="00B23F31"/>
    <w:rsid w:val="00B24B6C"/>
    <w:rsid w:val="00B25CCB"/>
    <w:rsid w:val="00B25F14"/>
    <w:rsid w:val="00B26409"/>
    <w:rsid w:val="00B2701C"/>
    <w:rsid w:val="00B27691"/>
    <w:rsid w:val="00B27FEE"/>
    <w:rsid w:val="00B30B28"/>
    <w:rsid w:val="00B3198D"/>
    <w:rsid w:val="00B31BE1"/>
    <w:rsid w:val="00B32283"/>
    <w:rsid w:val="00B32D90"/>
    <w:rsid w:val="00B33075"/>
    <w:rsid w:val="00B34593"/>
    <w:rsid w:val="00B3531F"/>
    <w:rsid w:val="00B3547E"/>
    <w:rsid w:val="00B35F41"/>
    <w:rsid w:val="00B3746E"/>
    <w:rsid w:val="00B40201"/>
    <w:rsid w:val="00B403C0"/>
    <w:rsid w:val="00B40458"/>
    <w:rsid w:val="00B41428"/>
    <w:rsid w:val="00B4159C"/>
    <w:rsid w:val="00B42C61"/>
    <w:rsid w:val="00B453EF"/>
    <w:rsid w:val="00B467E0"/>
    <w:rsid w:val="00B47C7D"/>
    <w:rsid w:val="00B51678"/>
    <w:rsid w:val="00B51687"/>
    <w:rsid w:val="00B518CE"/>
    <w:rsid w:val="00B52233"/>
    <w:rsid w:val="00B525FE"/>
    <w:rsid w:val="00B530D0"/>
    <w:rsid w:val="00B53108"/>
    <w:rsid w:val="00B5541E"/>
    <w:rsid w:val="00B569EE"/>
    <w:rsid w:val="00B61141"/>
    <w:rsid w:val="00B61F77"/>
    <w:rsid w:val="00B62487"/>
    <w:rsid w:val="00B66003"/>
    <w:rsid w:val="00B660EF"/>
    <w:rsid w:val="00B668F7"/>
    <w:rsid w:val="00B67392"/>
    <w:rsid w:val="00B67FDE"/>
    <w:rsid w:val="00B7009E"/>
    <w:rsid w:val="00B709B7"/>
    <w:rsid w:val="00B70EE6"/>
    <w:rsid w:val="00B71BE0"/>
    <w:rsid w:val="00B71C1A"/>
    <w:rsid w:val="00B72727"/>
    <w:rsid w:val="00B72A96"/>
    <w:rsid w:val="00B73787"/>
    <w:rsid w:val="00B73E5E"/>
    <w:rsid w:val="00B73F4B"/>
    <w:rsid w:val="00B7457F"/>
    <w:rsid w:val="00B765ED"/>
    <w:rsid w:val="00B768AA"/>
    <w:rsid w:val="00B76E42"/>
    <w:rsid w:val="00B77590"/>
    <w:rsid w:val="00B81440"/>
    <w:rsid w:val="00B8192D"/>
    <w:rsid w:val="00B8244E"/>
    <w:rsid w:val="00B8417F"/>
    <w:rsid w:val="00B85AD9"/>
    <w:rsid w:val="00B8644B"/>
    <w:rsid w:val="00B869DF"/>
    <w:rsid w:val="00B87A07"/>
    <w:rsid w:val="00B87ABC"/>
    <w:rsid w:val="00B911D2"/>
    <w:rsid w:val="00B933D3"/>
    <w:rsid w:val="00B94448"/>
    <w:rsid w:val="00B94F29"/>
    <w:rsid w:val="00B964B7"/>
    <w:rsid w:val="00BA06AE"/>
    <w:rsid w:val="00BA1A01"/>
    <w:rsid w:val="00BA1A97"/>
    <w:rsid w:val="00BA2119"/>
    <w:rsid w:val="00BA3756"/>
    <w:rsid w:val="00BA3AAF"/>
    <w:rsid w:val="00BA459C"/>
    <w:rsid w:val="00BA47E9"/>
    <w:rsid w:val="00BA5617"/>
    <w:rsid w:val="00BA6590"/>
    <w:rsid w:val="00BB32F1"/>
    <w:rsid w:val="00BB32FB"/>
    <w:rsid w:val="00BB3936"/>
    <w:rsid w:val="00BB3BFE"/>
    <w:rsid w:val="00BB455F"/>
    <w:rsid w:val="00BB6BA4"/>
    <w:rsid w:val="00BC013E"/>
    <w:rsid w:val="00BC0852"/>
    <w:rsid w:val="00BC18C7"/>
    <w:rsid w:val="00BC197B"/>
    <w:rsid w:val="00BC4307"/>
    <w:rsid w:val="00BC5A80"/>
    <w:rsid w:val="00BC5EB3"/>
    <w:rsid w:val="00BC658A"/>
    <w:rsid w:val="00BC7A2E"/>
    <w:rsid w:val="00BD13BF"/>
    <w:rsid w:val="00BD25C8"/>
    <w:rsid w:val="00BD485C"/>
    <w:rsid w:val="00BD4EC2"/>
    <w:rsid w:val="00BD6779"/>
    <w:rsid w:val="00BD7AD7"/>
    <w:rsid w:val="00BE0289"/>
    <w:rsid w:val="00BE19E6"/>
    <w:rsid w:val="00BE1B5B"/>
    <w:rsid w:val="00BE2FA9"/>
    <w:rsid w:val="00BE3C78"/>
    <w:rsid w:val="00BE5749"/>
    <w:rsid w:val="00BE5EFC"/>
    <w:rsid w:val="00BE63B7"/>
    <w:rsid w:val="00BE7443"/>
    <w:rsid w:val="00BF0183"/>
    <w:rsid w:val="00BF0500"/>
    <w:rsid w:val="00BF0E21"/>
    <w:rsid w:val="00BF3A9B"/>
    <w:rsid w:val="00BF522A"/>
    <w:rsid w:val="00BF5CB8"/>
    <w:rsid w:val="00BF5DCF"/>
    <w:rsid w:val="00BF642D"/>
    <w:rsid w:val="00BF68AE"/>
    <w:rsid w:val="00BF7836"/>
    <w:rsid w:val="00C003EF"/>
    <w:rsid w:val="00C00515"/>
    <w:rsid w:val="00C013F8"/>
    <w:rsid w:val="00C031D9"/>
    <w:rsid w:val="00C035AA"/>
    <w:rsid w:val="00C0485B"/>
    <w:rsid w:val="00C060AA"/>
    <w:rsid w:val="00C0661E"/>
    <w:rsid w:val="00C070C2"/>
    <w:rsid w:val="00C07543"/>
    <w:rsid w:val="00C1043C"/>
    <w:rsid w:val="00C117BC"/>
    <w:rsid w:val="00C11F7D"/>
    <w:rsid w:val="00C1360C"/>
    <w:rsid w:val="00C14F93"/>
    <w:rsid w:val="00C154CC"/>
    <w:rsid w:val="00C16281"/>
    <w:rsid w:val="00C17AD0"/>
    <w:rsid w:val="00C17E87"/>
    <w:rsid w:val="00C208E9"/>
    <w:rsid w:val="00C20B20"/>
    <w:rsid w:val="00C21C09"/>
    <w:rsid w:val="00C23B6B"/>
    <w:rsid w:val="00C251E5"/>
    <w:rsid w:val="00C257E7"/>
    <w:rsid w:val="00C27658"/>
    <w:rsid w:val="00C3077A"/>
    <w:rsid w:val="00C30F73"/>
    <w:rsid w:val="00C33912"/>
    <w:rsid w:val="00C343F0"/>
    <w:rsid w:val="00C346C4"/>
    <w:rsid w:val="00C35F6E"/>
    <w:rsid w:val="00C3622B"/>
    <w:rsid w:val="00C36325"/>
    <w:rsid w:val="00C36378"/>
    <w:rsid w:val="00C375A8"/>
    <w:rsid w:val="00C37FB9"/>
    <w:rsid w:val="00C43BBC"/>
    <w:rsid w:val="00C43E75"/>
    <w:rsid w:val="00C44696"/>
    <w:rsid w:val="00C4516C"/>
    <w:rsid w:val="00C45F31"/>
    <w:rsid w:val="00C4639C"/>
    <w:rsid w:val="00C4640C"/>
    <w:rsid w:val="00C50701"/>
    <w:rsid w:val="00C509DD"/>
    <w:rsid w:val="00C50D1D"/>
    <w:rsid w:val="00C5128A"/>
    <w:rsid w:val="00C51842"/>
    <w:rsid w:val="00C52053"/>
    <w:rsid w:val="00C520D3"/>
    <w:rsid w:val="00C5498B"/>
    <w:rsid w:val="00C54D63"/>
    <w:rsid w:val="00C56567"/>
    <w:rsid w:val="00C578CD"/>
    <w:rsid w:val="00C6156C"/>
    <w:rsid w:val="00C61713"/>
    <w:rsid w:val="00C61F8D"/>
    <w:rsid w:val="00C620E5"/>
    <w:rsid w:val="00C6328D"/>
    <w:rsid w:val="00C63415"/>
    <w:rsid w:val="00C639DD"/>
    <w:rsid w:val="00C6433F"/>
    <w:rsid w:val="00C66E31"/>
    <w:rsid w:val="00C67086"/>
    <w:rsid w:val="00C672FC"/>
    <w:rsid w:val="00C708FD"/>
    <w:rsid w:val="00C711F1"/>
    <w:rsid w:val="00C72016"/>
    <w:rsid w:val="00C72573"/>
    <w:rsid w:val="00C731E2"/>
    <w:rsid w:val="00C7348C"/>
    <w:rsid w:val="00C73A68"/>
    <w:rsid w:val="00C745AB"/>
    <w:rsid w:val="00C75214"/>
    <w:rsid w:val="00C75DA4"/>
    <w:rsid w:val="00C76693"/>
    <w:rsid w:val="00C76C5F"/>
    <w:rsid w:val="00C76D36"/>
    <w:rsid w:val="00C8004E"/>
    <w:rsid w:val="00C80839"/>
    <w:rsid w:val="00C80E13"/>
    <w:rsid w:val="00C84450"/>
    <w:rsid w:val="00C85625"/>
    <w:rsid w:val="00C86552"/>
    <w:rsid w:val="00C8670B"/>
    <w:rsid w:val="00C941F6"/>
    <w:rsid w:val="00C95829"/>
    <w:rsid w:val="00C97B05"/>
    <w:rsid w:val="00CA05FA"/>
    <w:rsid w:val="00CA378C"/>
    <w:rsid w:val="00CA4B07"/>
    <w:rsid w:val="00CA4CB6"/>
    <w:rsid w:val="00CA57CE"/>
    <w:rsid w:val="00CA6828"/>
    <w:rsid w:val="00CA7CA4"/>
    <w:rsid w:val="00CB16D2"/>
    <w:rsid w:val="00CB22DA"/>
    <w:rsid w:val="00CB3D16"/>
    <w:rsid w:val="00CB4062"/>
    <w:rsid w:val="00CB4B37"/>
    <w:rsid w:val="00CB5ACE"/>
    <w:rsid w:val="00CB68A1"/>
    <w:rsid w:val="00CB6DA3"/>
    <w:rsid w:val="00CB7E29"/>
    <w:rsid w:val="00CC013F"/>
    <w:rsid w:val="00CC1AB5"/>
    <w:rsid w:val="00CC4938"/>
    <w:rsid w:val="00CC4DED"/>
    <w:rsid w:val="00CC5C99"/>
    <w:rsid w:val="00CC66D3"/>
    <w:rsid w:val="00CC698B"/>
    <w:rsid w:val="00CC6DE4"/>
    <w:rsid w:val="00CD06F0"/>
    <w:rsid w:val="00CD080D"/>
    <w:rsid w:val="00CD1E58"/>
    <w:rsid w:val="00CD241F"/>
    <w:rsid w:val="00CD2571"/>
    <w:rsid w:val="00CD2C48"/>
    <w:rsid w:val="00CD5D19"/>
    <w:rsid w:val="00CD611B"/>
    <w:rsid w:val="00CD68D5"/>
    <w:rsid w:val="00CD69BB"/>
    <w:rsid w:val="00CD7B97"/>
    <w:rsid w:val="00CE00E4"/>
    <w:rsid w:val="00CE0BAE"/>
    <w:rsid w:val="00CE44F8"/>
    <w:rsid w:val="00CE6153"/>
    <w:rsid w:val="00CE73B2"/>
    <w:rsid w:val="00CF013E"/>
    <w:rsid w:val="00CF094C"/>
    <w:rsid w:val="00CF09E7"/>
    <w:rsid w:val="00CF0B6F"/>
    <w:rsid w:val="00CF0D37"/>
    <w:rsid w:val="00CF2608"/>
    <w:rsid w:val="00CF2644"/>
    <w:rsid w:val="00CF2708"/>
    <w:rsid w:val="00CF2DAC"/>
    <w:rsid w:val="00CF3288"/>
    <w:rsid w:val="00CF359C"/>
    <w:rsid w:val="00CF382E"/>
    <w:rsid w:val="00CF4553"/>
    <w:rsid w:val="00CF4795"/>
    <w:rsid w:val="00CF48BB"/>
    <w:rsid w:val="00CF4928"/>
    <w:rsid w:val="00CF7F1F"/>
    <w:rsid w:val="00D00690"/>
    <w:rsid w:val="00D00778"/>
    <w:rsid w:val="00D00A9C"/>
    <w:rsid w:val="00D00F8F"/>
    <w:rsid w:val="00D0143E"/>
    <w:rsid w:val="00D02D41"/>
    <w:rsid w:val="00D031DB"/>
    <w:rsid w:val="00D03FBC"/>
    <w:rsid w:val="00D040D4"/>
    <w:rsid w:val="00D049C2"/>
    <w:rsid w:val="00D0619C"/>
    <w:rsid w:val="00D114F3"/>
    <w:rsid w:val="00D116C5"/>
    <w:rsid w:val="00D117CC"/>
    <w:rsid w:val="00D12283"/>
    <w:rsid w:val="00D12382"/>
    <w:rsid w:val="00D124F4"/>
    <w:rsid w:val="00D12F0A"/>
    <w:rsid w:val="00D130F1"/>
    <w:rsid w:val="00D158FB"/>
    <w:rsid w:val="00D15C75"/>
    <w:rsid w:val="00D1785B"/>
    <w:rsid w:val="00D17864"/>
    <w:rsid w:val="00D20547"/>
    <w:rsid w:val="00D2072D"/>
    <w:rsid w:val="00D21214"/>
    <w:rsid w:val="00D22B58"/>
    <w:rsid w:val="00D22E06"/>
    <w:rsid w:val="00D236C5"/>
    <w:rsid w:val="00D239AA"/>
    <w:rsid w:val="00D24DC8"/>
    <w:rsid w:val="00D26459"/>
    <w:rsid w:val="00D272C2"/>
    <w:rsid w:val="00D27B81"/>
    <w:rsid w:val="00D27B92"/>
    <w:rsid w:val="00D27E2E"/>
    <w:rsid w:val="00D309C7"/>
    <w:rsid w:val="00D32DEC"/>
    <w:rsid w:val="00D33014"/>
    <w:rsid w:val="00D351C1"/>
    <w:rsid w:val="00D35879"/>
    <w:rsid w:val="00D36F82"/>
    <w:rsid w:val="00D373FD"/>
    <w:rsid w:val="00D40F94"/>
    <w:rsid w:val="00D4243B"/>
    <w:rsid w:val="00D43952"/>
    <w:rsid w:val="00D4483A"/>
    <w:rsid w:val="00D455A8"/>
    <w:rsid w:val="00D461FD"/>
    <w:rsid w:val="00D50E84"/>
    <w:rsid w:val="00D5170C"/>
    <w:rsid w:val="00D52C2C"/>
    <w:rsid w:val="00D53E90"/>
    <w:rsid w:val="00D559A6"/>
    <w:rsid w:val="00D55B41"/>
    <w:rsid w:val="00D56107"/>
    <w:rsid w:val="00D61003"/>
    <w:rsid w:val="00D64C49"/>
    <w:rsid w:val="00D653DB"/>
    <w:rsid w:val="00D656BE"/>
    <w:rsid w:val="00D65DF6"/>
    <w:rsid w:val="00D67131"/>
    <w:rsid w:val="00D72471"/>
    <w:rsid w:val="00D72CE9"/>
    <w:rsid w:val="00D73A32"/>
    <w:rsid w:val="00D73D47"/>
    <w:rsid w:val="00D741D1"/>
    <w:rsid w:val="00D75D1D"/>
    <w:rsid w:val="00D81284"/>
    <w:rsid w:val="00D8186F"/>
    <w:rsid w:val="00D81B6E"/>
    <w:rsid w:val="00D82228"/>
    <w:rsid w:val="00D82990"/>
    <w:rsid w:val="00D835FD"/>
    <w:rsid w:val="00D83A2A"/>
    <w:rsid w:val="00D84B8E"/>
    <w:rsid w:val="00D8723C"/>
    <w:rsid w:val="00D902A9"/>
    <w:rsid w:val="00D90A4B"/>
    <w:rsid w:val="00D9244D"/>
    <w:rsid w:val="00D92E3B"/>
    <w:rsid w:val="00D9342A"/>
    <w:rsid w:val="00D936F8"/>
    <w:rsid w:val="00D9607D"/>
    <w:rsid w:val="00D96D30"/>
    <w:rsid w:val="00D96EA0"/>
    <w:rsid w:val="00DA09E6"/>
    <w:rsid w:val="00DA125A"/>
    <w:rsid w:val="00DA134E"/>
    <w:rsid w:val="00DA1437"/>
    <w:rsid w:val="00DA2407"/>
    <w:rsid w:val="00DA26BE"/>
    <w:rsid w:val="00DA2862"/>
    <w:rsid w:val="00DA30A4"/>
    <w:rsid w:val="00DA4FAC"/>
    <w:rsid w:val="00DA5103"/>
    <w:rsid w:val="00DA560E"/>
    <w:rsid w:val="00DA5C42"/>
    <w:rsid w:val="00DA5D0F"/>
    <w:rsid w:val="00DA7317"/>
    <w:rsid w:val="00DA7970"/>
    <w:rsid w:val="00DB0086"/>
    <w:rsid w:val="00DB2BF4"/>
    <w:rsid w:val="00DB526E"/>
    <w:rsid w:val="00DB5E79"/>
    <w:rsid w:val="00DB700D"/>
    <w:rsid w:val="00DB7134"/>
    <w:rsid w:val="00DB7850"/>
    <w:rsid w:val="00DB7E32"/>
    <w:rsid w:val="00DC279E"/>
    <w:rsid w:val="00DC3248"/>
    <w:rsid w:val="00DC343B"/>
    <w:rsid w:val="00DC4047"/>
    <w:rsid w:val="00DC4190"/>
    <w:rsid w:val="00DC74BE"/>
    <w:rsid w:val="00DC7624"/>
    <w:rsid w:val="00DD38EB"/>
    <w:rsid w:val="00DD3C5E"/>
    <w:rsid w:val="00DD4205"/>
    <w:rsid w:val="00DD4F98"/>
    <w:rsid w:val="00DD5692"/>
    <w:rsid w:val="00DD5ABC"/>
    <w:rsid w:val="00DD5B9E"/>
    <w:rsid w:val="00DD63B1"/>
    <w:rsid w:val="00DD7566"/>
    <w:rsid w:val="00DD75EA"/>
    <w:rsid w:val="00DE05C7"/>
    <w:rsid w:val="00DE23FD"/>
    <w:rsid w:val="00DE2522"/>
    <w:rsid w:val="00DE3AC2"/>
    <w:rsid w:val="00DE3C52"/>
    <w:rsid w:val="00DE41F5"/>
    <w:rsid w:val="00DE47B2"/>
    <w:rsid w:val="00DE512C"/>
    <w:rsid w:val="00DF0786"/>
    <w:rsid w:val="00DF2E5A"/>
    <w:rsid w:val="00DF30D6"/>
    <w:rsid w:val="00DF311F"/>
    <w:rsid w:val="00DF4027"/>
    <w:rsid w:val="00DF4675"/>
    <w:rsid w:val="00DF54EA"/>
    <w:rsid w:val="00DF6A2A"/>
    <w:rsid w:val="00DF6A7E"/>
    <w:rsid w:val="00E00834"/>
    <w:rsid w:val="00E029CF"/>
    <w:rsid w:val="00E0356A"/>
    <w:rsid w:val="00E03CE0"/>
    <w:rsid w:val="00E05C38"/>
    <w:rsid w:val="00E06A32"/>
    <w:rsid w:val="00E07D6A"/>
    <w:rsid w:val="00E10201"/>
    <w:rsid w:val="00E10416"/>
    <w:rsid w:val="00E11654"/>
    <w:rsid w:val="00E11CF1"/>
    <w:rsid w:val="00E12A30"/>
    <w:rsid w:val="00E12EFE"/>
    <w:rsid w:val="00E135D7"/>
    <w:rsid w:val="00E14A0A"/>
    <w:rsid w:val="00E16528"/>
    <w:rsid w:val="00E23302"/>
    <w:rsid w:val="00E24798"/>
    <w:rsid w:val="00E25A62"/>
    <w:rsid w:val="00E25CCF"/>
    <w:rsid w:val="00E25F1F"/>
    <w:rsid w:val="00E26524"/>
    <w:rsid w:val="00E26B46"/>
    <w:rsid w:val="00E318E8"/>
    <w:rsid w:val="00E3374D"/>
    <w:rsid w:val="00E33987"/>
    <w:rsid w:val="00E35086"/>
    <w:rsid w:val="00E35C4B"/>
    <w:rsid w:val="00E36550"/>
    <w:rsid w:val="00E406FB"/>
    <w:rsid w:val="00E41B41"/>
    <w:rsid w:val="00E41BB2"/>
    <w:rsid w:val="00E43772"/>
    <w:rsid w:val="00E43E5F"/>
    <w:rsid w:val="00E43EE9"/>
    <w:rsid w:val="00E44CD1"/>
    <w:rsid w:val="00E45515"/>
    <w:rsid w:val="00E45902"/>
    <w:rsid w:val="00E46A1E"/>
    <w:rsid w:val="00E50505"/>
    <w:rsid w:val="00E50B17"/>
    <w:rsid w:val="00E52B4A"/>
    <w:rsid w:val="00E52BF2"/>
    <w:rsid w:val="00E534B4"/>
    <w:rsid w:val="00E53693"/>
    <w:rsid w:val="00E5389B"/>
    <w:rsid w:val="00E540D7"/>
    <w:rsid w:val="00E55BAD"/>
    <w:rsid w:val="00E55DAC"/>
    <w:rsid w:val="00E56624"/>
    <w:rsid w:val="00E56A11"/>
    <w:rsid w:val="00E5725D"/>
    <w:rsid w:val="00E57CD7"/>
    <w:rsid w:val="00E57D08"/>
    <w:rsid w:val="00E62BCE"/>
    <w:rsid w:val="00E64398"/>
    <w:rsid w:val="00E64F36"/>
    <w:rsid w:val="00E657D4"/>
    <w:rsid w:val="00E65AA2"/>
    <w:rsid w:val="00E65D1F"/>
    <w:rsid w:val="00E666FE"/>
    <w:rsid w:val="00E66879"/>
    <w:rsid w:val="00E669CA"/>
    <w:rsid w:val="00E66AB9"/>
    <w:rsid w:val="00E66B0D"/>
    <w:rsid w:val="00E66CCA"/>
    <w:rsid w:val="00E677B2"/>
    <w:rsid w:val="00E67DA3"/>
    <w:rsid w:val="00E67E53"/>
    <w:rsid w:val="00E70ECB"/>
    <w:rsid w:val="00E715BA"/>
    <w:rsid w:val="00E71A06"/>
    <w:rsid w:val="00E731F9"/>
    <w:rsid w:val="00E739BE"/>
    <w:rsid w:val="00E73FAD"/>
    <w:rsid w:val="00E74ED7"/>
    <w:rsid w:val="00E75F38"/>
    <w:rsid w:val="00E76EA6"/>
    <w:rsid w:val="00E7761E"/>
    <w:rsid w:val="00E812BD"/>
    <w:rsid w:val="00E82470"/>
    <w:rsid w:val="00E831A8"/>
    <w:rsid w:val="00E831A9"/>
    <w:rsid w:val="00E85F5E"/>
    <w:rsid w:val="00E8687A"/>
    <w:rsid w:val="00E86B5A"/>
    <w:rsid w:val="00E86E38"/>
    <w:rsid w:val="00E8771F"/>
    <w:rsid w:val="00E90CCD"/>
    <w:rsid w:val="00E911EB"/>
    <w:rsid w:val="00E919ED"/>
    <w:rsid w:val="00E942F9"/>
    <w:rsid w:val="00E95752"/>
    <w:rsid w:val="00E96270"/>
    <w:rsid w:val="00EA11E5"/>
    <w:rsid w:val="00EA1368"/>
    <w:rsid w:val="00EA1CE4"/>
    <w:rsid w:val="00EA1F86"/>
    <w:rsid w:val="00EA43CE"/>
    <w:rsid w:val="00EA444D"/>
    <w:rsid w:val="00EA5DBB"/>
    <w:rsid w:val="00EA6039"/>
    <w:rsid w:val="00EA64FE"/>
    <w:rsid w:val="00EA7018"/>
    <w:rsid w:val="00EA7257"/>
    <w:rsid w:val="00EA7637"/>
    <w:rsid w:val="00EA7826"/>
    <w:rsid w:val="00EB08A3"/>
    <w:rsid w:val="00EB0FBF"/>
    <w:rsid w:val="00EB1364"/>
    <w:rsid w:val="00EB1D41"/>
    <w:rsid w:val="00EB30C1"/>
    <w:rsid w:val="00EB3B73"/>
    <w:rsid w:val="00EB5456"/>
    <w:rsid w:val="00EB6560"/>
    <w:rsid w:val="00EB710C"/>
    <w:rsid w:val="00EB77F2"/>
    <w:rsid w:val="00EC3842"/>
    <w:rsid w:val="00EC4BEF"/>
    <w:rsid w:val="00EC5723"/>
    <w:rsid w:val="00EC6816"/>
    <w:rsid w:val="00EC6CD4"/>
    <w:rsid w:val="00EC7237"/>
    <w:rsid w:val="00EC7A80"/>
    <w:rsid w:val="00EC7B15"/>
    <w:rsid w:val="00ED0895"/>
    <w:rsid w:val="00ED0FEA"/>
    <w:rsid w:val="00ED1695"/>
    <w:rsid w:val="00ED37AE"/>
    <w:rsid w:val="00ED3A5B"/>
    <w:rsid w:val="00ED4073"/>
    <w:rsid w:val="00ED51D6"/>
    <w:rsid w:val="00ED72DB"/>
    <w:rsid w:val="00EE0797"/>
    <w:rsid w:val="00EE2D5E"/>
    <w:rsid w:val="00EE3333"/>
    <w:rsid w:val="00EE42E2"/>
    <w:rsid w:val="00EE552C"/>
    <w:rsid w:val="00EE5CB3"/>
    <w:rsid w:val="00EE751D"/>
    <w:rsid w:val="00EF07DB"/>
    <w:rsid w:val="00EF0A5D"/>
    <w:rsid w:val="00EF0E5A"/>
    <w:rsid w:val="00EF37A2"/>
    <w:rsid w:val="00EF3ED7"/>
    <w:rsid w:val="00EF42E0"/>
    <w:rsid w:val="00EF473A"/>
    <w:rsid w:val="00EF52F0"/>
    <w:rsid w:val="00EF5B55"/>
    <w:rsid w:val="00F01888"/>
    <w:rsid w:val="00F01D5A"/>
    <w:rsid w:val="00F04111"/>
    <w:rsid w:val="00F04CE7"/>
    <w:rsid w:val="00F05377"/>
    <w:rsid w:val="00F058EC"/>
    <w:rsid w:val="00F059D6"/>
    <w:rsid w:val="00F06150"/>
    <w:rsid w:val="00F06B1E"/>
    <w:rsid w:val="00F10094"/>
    <w:rsid w:val="00F10096"/>
    <w:rsid w:val="00F10CD5"/>
    <w:rsid w:val="00F11977"/>
    <w:rsid w:val="00F11999"/>
    <w:rsid w:val="00F119DE"/>
    <w:rsid w:val="00F123DF"/>
    <w:rsid w:val="00F13CE5"/>
    <w:rsid w:val="00F14011"/>
    <w:rsid w:val="00F148DC"/>
    <w:rsid w:val="00F14DC1"/>
    <w:rsid w:val="00F15F8B"/>
    <w:rsid w:val="00F16DDC"/>
    <w:rsid w:val="00F17107"/>
    <w:rsid w:val="00F202A1"/>
    <w:rsid w:val="00F213E9"/>
    <w:rsid w:val="00F22620"/>
    <w:rsid w:val="00F22A6A"/>
    <w:rsid w:val="00F23A5F"/>
    <w:rsid w:val="00F24084"/>
    <w:rsid w:val="00F24B38"/>
    <w:rsid w:val="00F24E2D"/>
    <w:rsid w:val="00F24FA6"/>
    <w:rsid w:val="00F25930"/>
    <w:rsid w:val="00F27EBD"/>
    <w:rsid w:val="00F321C4"/>
    <w:rsid w:val="00F34A0F"/>
    <w:rsid w:val="00F363C9"/>
    <w:rsid w:val="00F36C7B"/>
    <w:rsid w:val="00F40A0F"/>
    <w:rsid w:val="00F4236A"/>
    <w:rsid w:val="00F430B3"/>
    <w:rsid w:val="00F442E4"/>
    <w:rsid w:val="00F44A90"/>
    <w:rsid w:val="00F44AF1"/>
    <w:rsid w:val="00F44B2D"/>
    <w:rsid w:val="00F467D1"/>
    <w:rsid w:val="00F470C7"/>
    <w:rsid w:val="00F50B6F"/>
    <w:rsid w:val="00F51000"/>
    <w:rsid w:val="00F52F1A"/>
    <w:rsid w:val="00F53FDB"/>
    <w:rsid w:val="00F54FFF"/>
    <w:rsid w:val="00F5512B"/>
    <w:rsid w:val="00F574AF"/>
    <w:rsid w:val="00F57CFA"/>
    <w:rsid w:val="00F60873"/>
    <w:rsid w:val="00F61312"/>
    <w:rsid w:val="00F61FE1"/>
    <w:rsid w:val="00F63A25"/>
    <w:rsid w:val="00F63C80"/>
    <w:rsid w:val="00F6401E"/>
    <w:rsid w:val="00F650CA"/>
    <w:rsid w:val="00F67CA2"/>
    <w:rsid w:val="00F75729"/>
    <w:rsid w:val="00F769B7"/>
    <w:rsid w:val="00F76D48"/>
    <w:rsid w:val="00F7728C"/>
    <w:rsid w:val="00F7796B"/>
    <w:rsid w:val="00F80597"/>
    <w:rsid w:val="00F8348B"/>
    <w:rsid w:val="00F837CF"/>
    <w:rsid w:val="00F83ADF"/>
    <w:rsid w:val="00F853F0"/>
    <w:rsid w:val="00F85A59"/>
    <w:rsid w:val="00F86651"/>
    <w:rsid w:val="00F90A58"/>
    <w:rsid w:val="00F90DDF"/>
    <w:rsid w:val="00F90DF5"/>
    <w:rsid w:val="00F91F85"/>
    <w:rsid w:val="00F938ED"/>
    <w:rsid w:val="00F940F7"/>
    <w:rsid w:val="00F943B7"/>
    <w:rsid w:val="00F94947"/>
    <w:rsid w:val="00F952FB"/>
    <w:rsid w:val="00FA19EF"/>
    <w:rsid w:val="00FA1D12"/>
    <w:rsid w:val="00FA26F0"/>
    <w:rsid w:val="00FA430A"/>
    <w:rsid w:val="00FA4917"/>
    <w:rsid w:val="00FA4FA4"/>
    <w:rsid w:val="00FA529D"/>
    <w:rsid w:val="00FA5764"/>
    <w:rsid w:val="00FA5EF5"/>
    <w:rsid w:val="00FA7156"/>
    <w:rsid w:val="00FA75DA"/>
    <w:rsid w:val="00FA76BC"/>
    <w:rsid w:val="00FB0776"/>
    <w:rsid w:val="00FB14C0"/>
    <w:rsid w:val="00FB19D7"/>
    <w:rsid w:val="00FB1C49"/>
    <w:rsid w:val="00FB1FF9"/>
    <w:rsid w:val="00FB3183"/>
    <w:rsid w:val="00FB34FF"/>
    <w:rsid w:val="00FB41D2"/>
    <w:rsid w:val="00FB6691"/>
    <w:rsid w:val="00FB68A2"/>
    <w:rsid w:val="00FB7A0F"/>
    <w:rsid w:val="00FC024C"/>
    <w:rsid w:val="00FC0E0F"/>
    <w:rsid w:val="00FC2D24"/>
    <w:rsid w:val="00FC4817"/>
    <w:rsid w:val="00FC4CAB"/>
    <w:rsid w:val="00FC5C99"/>
    <w:rsid w:val="00FC7924"/>
    <w:rsid w:val="00FD04D3"/>
    <w:rsid w:val="00FD073D"/>
    <w:rsid w:val="00FD0D06"/>
    <w:rsid w:val="00FD12B4"/>
    <w:rsid w:val="00FD3291"/>
    <w:rsid w:val="00FD41A0"/>
    <w:rsid w:val="00FD42F1"/>
    <w:rsid w:val="00FD49C4"/>
    <w:rsid w:val="00FD63D8"/>
    <w:rsid w:val="00FD6ADA"/>
    <w:rsid w:val="00FD708B"/>
    <w:rsid w:val="00FE00D3"/>
    <w:rsid w:val="00FE0382"/>
    <w:rsid w:val="00FE06E6"/>
    <w:rsid w:val="00FE1276"/>
    <w:rsid w:val="00FE2017"/>
    <w:rsid w:val="00FE221E"/>
    <w:rsid w:val="00FE2B34"/>
    <w:rsid w:val="00FE4125"/>
    <w:rsid w:val="00FE4CF8"/>
    <w:rsid w:val="00FE7336"/>
    <w:rsid w:val="00FE78E1"/>
    <w:rsid w:val="00FF0370"/>
    <w:rsid w:val="00FF042C"/>
    <w:rsid w:val="00FF1AF0"/>
    <w:rsid w:val="00FF1D23"/>
    <w:rsid w:val="00FF5E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D944"/>
  <w15:chartTrackingRefBased/>
  <w15:docId w15:val="{2ACBD966-9D5F-49B3-8646-1543FAC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741D1"/>
  </w:style>
  <w:style w:type="paragraph" w:styleId="Cmsor1">
    <w:name w:val="heading 1"/>
    <w:basedOn w:val="Norml"/>
    <w:next w:val="Norml"/>
    <w:qFormat/>
    <w:pPr>
      <w:keepNext/>
      <w:widowControl w:val="0"/>
      <w:jc w:val="both"/>
      <w:outlineLvl w:val="0"/>
    </w:pPr>
    <w:rPr>
      <w:b/>
      <w:snapToGrid w:val="0"/>
      <w:color w:val="FF0000"/>
      <w:sz w:val="24"/>
    </w:rPr>
  </w:style>
  <w:style w:type="paragraph" w:styleId="Cmsor2">
    <w:name w:val="heading 2"/>
    <w:basedOn w:val="Norml"/>
    <w:next w:val="Norml"/>
    <w:qFormat/>
    <w:pPr>
      <w:keepNext/>
      <w:widowControl w:val="0"/>
      <w:numPr>
        <w:ilvl w:val="2"/>
        <w:numId w:val="1"/>
      </w:numPr>
      <w:tabs>
        <w:tab w:val="clear" w:pos="2700"/>
        <w:tab w:val="num" w:pos="0"/>
      </w:tabs>
      <w:ind w:left="284" w:hanging="284"/>
      <w:jc w:val="both"/>
      <w:outlineLvl w:val="1"/>
    </w:pPr>
    <w:rPr>
      <w:b/>
      <w:snapToGrid w:val="0"/>
      <w:color w:val="FF0000"/>
      <w:sz w:val="24"/>
    </w:rPr>
  </w:style>
  <w:style w:type="paragraph" w:styleId="Cmsor3">
    <w:name w:val="heading 3"/>
    <w:basedOn w:val="Norml"/>
    <w:next w:val="Norml"/>
    <w:qFormat/>
    <w:pPr>
      <w:keepNext/>
      <w:overflowPunct w:val="0"/>
      <w:autoSpaceDE w:val="0"/>
      <w:autoSpaceDN w:val="0"/>
      <w:adjustRightInd w:val="0"/>
      <w:spacing w:before="120" w:after="120"/>
      <w:ind w:left="1134" w:hanging="595"/>
      <w:jc w:val="both"/>
      <w:textAlignment w:val="baseline"/>
      <w:outlineLvl w:val="2"/>
    </w:pPr>
    <w:rPr>
      <w:b/>
      <w:bCs/>
      <w:i/>
      <w:iCs/>
      <w:sz w:val="26"/>
    </w:rPr>
  </w:style>
  <w:style w:type="paragraph" w:styleId="Cmsor4">
    <w:name w:val="heading 4"/>
    <w:basedOn w:val="Norml"/>
    <w:next w:val="Norml"/>
    <w:qFormat/>
    <w:pPr>
      <w:keepNext/>
      <w:outlineLvl w:val="3"/>
    </w:pPr>
    <w:rPr>
      <w:rFonts w:ascii="Arial" w:hAnsi="Arial" w:cs="Arial"/>
      <w:bCs/>
      <w:i/>
      <w:iCs/>
      <w:sz w:val="24"/>
    </w:rPr>
  </w:style>
  <w:style w:type="paragraph" w:styleId="Cmsor5">
    <w:name w:val="heading 5"/>
    <w:basedOn w:val="Norml"/>
    <w:next w:val="Norml"/>
    <w:qFormat/>
    <w:pPr>
      <w:keepNext/>
      <w:ind w:firstLine="709"/>
      <w:jc w:val="both"/>
      <w:outlineLvl w:val="4"/>
    </w:pPr>
    <w:rPr>
      <w:rFonts w:ascii="Arial" w:hAnsi="Arial" w:cs="Arial"/>
      <w:bCs/>
      <w:i/>
      <w:sz w:val="24"/>
    </w:rPr>
  </w:style>
  <w:style w:type="paragraph" w:styleId="Cmsor6">
    <w:name w:val="heading 6"/>
    <w:basedOn w:val="Norml"/>
    <w:next w:val="Norml"/>
    <w:qFormat/>
    <w:pPr>
      <w:keepNext/>
      <w:outlineLvl w:val="5"/>
    </w:pPr>
    <w:rPr>
      <w:rFonts w:ascii="Arial" w:hAnsi="Arial" w:cs="Arial"/>
      <w:b/>
      <w:i/>
      <w:iCs/>
      <w:sz w:val="24"/>
    </w:rPr>
  </w:style>
  <w:style w:type="paragraph" w:styleId="Cmsor7">
    <w:name w:val="heading 7"/>
    <w:basedOn w:val="Norml"/>
    <w:next w:val="Norml"/>
    <w:qFormat/>
    <w:pPr>
      <w:keepNext/>
      <w:outlineLvl w:val="6"/>
    </w:pPr>
    <w:rPr>
      <w:rFonts w:ascii="Arial" w:hAnsi="Arial" w:cs="Arial"/>
      <w:b/>
      <w:bCs/>
      <w:i/>
      <w:sz w:val="24"/>
      <w:u w:val="single"/>
    </w:rPr>
  </w:style>
  <w:style w:type="paragraph" w:styleId="Cmsor8">
    <w:name w:val="heading 8"/>
    <w:basedOn w:val="Norml"/>
    <w:next w:val="Norml"/>
    <w:qFormat/>
    <w:pPr>
      <w:keepNext/>
      <w:jc w:val="both"/>
      <w:outlineLvl w:val="7"/>
    </w:pPr>
    <w:rPr>
      <w:rFonts w:ascii="Arial" w:hAnsi="Arial" w:cs="Arial"/>
      <w:i/>
      <w:iCs/>
      <w:sz w:val="24"/>
    </w:rPr>
  </w:style>
  <w:style w:type="paragraph" w:styleId="Cmsor9">
    <w:name w:val="heading 9"/>
    <w:basedOn w:val="Norml"/>
    <w:next w:val="Norml"/>
    <w:qFormat/>
    <w:pPr>
      <w:keepNext/>
      <w:jc w:val="both"/>
      <w:outlineLvl w:val="8"/>
    </w:pPr>
    <w:rPr>
      <w:rFonts w:ascii="Arial" w:hAnsi="Arial" w:cs="Arial"/>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pPr>
      <w:widowControl w:val="0"/>
      <w:jc w:val="both"/>
    </w:pPr>
    <w:rPr>
      <w:b/>
      <w:snapToGrid w:val="0"/>
      <w:color w:val="FF0000"/>
      <w:sz w:val="24"/>
    </w:rPr>
  </w:style>
  <w:style w:type="paragraph" w:styleId="Szvegtrzs2">
    <w:name w:val="Body Text 2"/>
    <w:basedOn w:val="Norml"/>
    <w:pPr>
      <w:jc w:val="center"/>
    </w:pPr>
    <w:rPr>
      <w:b/>
      <w:sz w:val="28"/>
    </w:rPr>
  </w:style>
  <w:style w:type="paragraph" w:styleId="Felsorols2">
    <w:name w:val="List Bullet 2"/>
    <w:basedOn w:val="Norml"/>
    <w:autoRedefine/>
    <w:pPr>
      <w:overflowPunct w:val="0"/>
      <w:autoSpaceDE w:val="0"/>
      <w:autoSpaceDN w:val="0"/>
      <w:adjustRightInd w:val="0"/>
      <w:ind w:left="357"/>
      <w:jc w:val="both"/>
      <w:textAlignment w:val="baseline"/>
    </w:pPr>
    <w:rPr>
      <w:sz w:val="26"/>
    </w:rPr>
  </w:style>
  <w:style w:type="paragraph" w:styleId="Szvegtrzsbehzssal">
    <w:name w:val="Body Text Indent"/>
    <w:basedOn w:val="Norml"/>
    <w:pPr>
      <w:ind w:left="360"/>
      <w:jc w:val="both"/>
    </w:pPr>
    <w:rPr>
      <w:rFonts w:ascii="Arial" w:hAnsi="Arial" w:cs="Arial"/>
      <w:sz w:val="24"/>
    </w:rPr>
  </w:style>
  <w:style w:type="paragraph" w:styleId="Szvegtrzsbehzssal2">
    <w:name w:val="Body Text Indent 2"/>
    <w:basedOn w:val="Norml"/>
    <w:pPr>
      <w:ind w:left="360"/>
      <w:jc w:val="both"/>
    </w:pPr>
    <w:rPr>
      <w:rFonts w:ascii="Arial" w:hAnsi="Arial" w:cs="Arial"/>
      <w:b/>
      <w:bCs/>
      <w:sz w:val="24"/>
    </w:rPr>
  </w:style>
  <w:style w:type="paragraph" w:styleId="Szvegtrzsbehzssal3">
    <w:name w:val="Body Text Indent 3"/>
    <w:basedOn w:val="Norml"/>
    <w:pPr>
      <w:ind w:left="284" w:hanging="284"/>
      <w:jc w:val="both"/>
    </w:pPr>
    <w:rPr>
      <w:rFonts w:ascii="Arial" w:hAnsi="Arial" w:cs="Arial"/>
      <w:b/>
      <w:bCs/>
      <w:sz w:val="24"/>
    </w:rPr>
  </w:style>
  <w:style w:type="paragraph" w:styleId="Szvegtrzs3">
    <w:name w:val="Body Text 3"/>
    <w:basedOn w:val="Norml"/>
    <w:pPr>
      <w:jc w:val="both"/>
    </w:pPr>
    <w:rPr>
      <w:rFonts w:ascii="Arial" w:hAnsi="Arial" w:cs="Arial"/>
      <w:sz w:val="24"/>
    </w:rPr>
  </w:style>
  <w:style w:type="paragraph" w:styleId="lfej">
    <w:name w:val="header"/>
    <w:basedOn w:val="Norml"/>
    <w:pPr>
      <w:tabs>
        <w:tab w:val="center" w:pos="4536"/>
        <w:tab w:val="right" w:pos="9072"/>
      </w:tabs>
    </w:pPr>
  </w:style>
  <w:style w:type="table" w:styleId="Rcsostblzat">
    <w:name w:val="Table Grid"/>
    <w:basedOn w:val="Normltblzat"/>
    <w:rsid w:val="00FD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87014B"/>
    <w:rPr>
      <w:rFonts w:ascii="Tahoma" w:hAnsi="Tahoma" w:cs="Tahoma"/>
      <w:sz w:val="16"/>
      <w:szCs w:val="16"/>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532304"/>
    <w:pPr>
      <w:ind w:left="708"/>
    </w:pPr>
    <w:rPr>
      <w:sz w:val="24"/>
      <w:szCs w:val="24"/>
    </w:rPr>
  </w:style>
  <w:style w:type="paragraph" w:styleId="NormlWeb">
    <w:name w:val="Normal (Web)"/>
    <w:basedOn w:val="Norml"/>
    <w:uiPriority w:val="99"/>
    <w:unhideWhenUsed/>
    <w:rsid w:val="00D00778"/>
    <w:pPr>
      <w:spacing w:before="100" w:beforeAutospacing="1" w:after="100" w:afterAutospacing="1"/>
    </w:pPr>
    <w:rPr>
      <w:sz w:val="24"/>
      <w:szCs w:val="24"/>
    </w:rPr>
  </w:style>
  <w:style w:type="character" w:styleId="Kiemels2">
    <w:name w:val="Strong"/>
    <w:uiPriority w:val="22"/>
    <w:qFormat/>
    <w:rsid w:val="00D00778"/>
    <w:rPr>
      <w:b/>
      <w:bCs/>
    </w:rPr>
  </w:style>
  <w:style w:type="character" w:customStyle="1" w:styleId="apple-converted-space">
    <w:name w:val="apple-converted-space"/>
    <w:rsid w:val="00D00778"/>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5B5141"/>
    <w:rPr>
      <w:sz w:val="24"/>
      <w:szCs w:val="24"/>
    </w:rPr>
  </w:style>
  <w:style w:type="paragraph" w:customStyle="1" w:styleId="Szvegtrzsbehzssal21">
    <w:name w:val="Szövegtörzs behúzással 21"/>
    <w:basedOn w:val="Norml"/>
    <w:rsid w:val="00096AC0"/>
    <w:pPr>
      <w:ind w:left="426" w:hanging="426"/>
      <w:jc w:val="both"/>
    </w:pPr>
    <w:rPr>
      <w:sz w:val="24"/>
    </w:rPr>
  </w:style>
  <w:style w:type="character" w:customStyle="1" w:styleId="contentpasted0">
    <w:name w:val="contentpasted0"/>
    <w:rsid w:val="00161EA5"/>
  </w:style>
  <w:style w:type="character" w:customStyle="1" w:styleId="Egyiksem">
    <w:name w:val="Egyik sem"/>
    <w:rsid w:val="00B40201"/>
  </w:style>
  <w:style w:type="numbering" w:customStyle="1" w:styleId="Importlt2stlus">
    <w:name w:val="Importált 2 stílus"/>
    <w:rsid w:val="00B40201"/>
    <w:pPr>
      <w:numPr>
        <w:numId w:val="9"/>
      </w:numPr>
    </w:pPr>
  </w:style>
  <w:style w:type="character" w:customStyle="1" w:styleId="EgyiksemA">
    <w:name w:val="Egyik sem A"/>
    <w:rsid w:val="0061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357">
      <w:bodyDiv w:val="1"/>
      <w:marLeft w:val="0"/>
      <w:marRight w:val="0"/>
      <w:marTop w:val="0"/>
      <w:marBottom w:val="0"/>
      <w:divBdr>
        <w:top w:val="none" w:sz="0" w:space="0" w:color="auto"/>
        <w:left w:val="none" w:sz="0" w:space="0" w:color="auto"/>
        <w:bottom w:val="none" w:sz="0" w:space="0" w:color="auto"/>
        <w:right w:val="none" w:sz="0" w:space="0" w:color="auto"/>
      </w:divBdr>
    </w:div>
    <w:div w:id="33120719">
      <w:bodyDiv w:val="1"/>
      <w:marLeft w:val="0"/>
      <w:marRight w:val="0"/>
      <w:marTop w:val="0"/>
      <w:marBottom w:val="0"/>
      <w:divBdr>
        <w:top w:val="none" w:sz="0" w:space="0" w:color="auto"/>
        <w:left w:val="none" w:sz="0" w:space="0" w:color="auto"/>
        <w:bottom w:val="none" w:sz="0" w:space="0" w:color="auto"/>
        <w:right w:val="none" w:sz="0" w:space="0" w:color="auto"/>
      </w:divBdr>
    </w:div>
    <w:div w:id="37053844">
      <w:bodyDiv w:val="1"/>
      <w:marLeft w:val="0"/>
      <w:marRight w:val="0"/>
      <w:marTop w:val="0"/>
      <w:marBottom w:val="0"/>
      <w:divBdr>
        <w:top w:val="none" w:sz="0" w:space="0" w:color="auto"/>
        <w:left w:val="none" w:sz="0" w:space="0" w:color="auto"/>
        <w:bottom w:val="none" w:sz="0" w:space="0" w:color="auto"/>
        <w:right w:val="none" w:sz="0" w:space="0" w:color="auto"/>
      </w:divBdr>
    </w:div>
    <w:div w:id="133647659">
      <w:bodyDiv w:val="1"/>
      <w:marLeft w:val="0"/>
      <w:marRight w:val="0"/>
      <w:marTop w:val="0"/>
      <w:marBottom w:val="0"/>
      <w:divBdr>
        <w:top w:val="none" w:sz="0" w:space="0" w:color="auto"/>
        <w:left w:val="none" w:sz="0" w:space="0" w:color="auto"/>
        <w:bottom w:val="none" w:sz="0" w:space="0" w:color="auto"/>
        <w:right w:val="none" w:sz="0" w:space="0" w:color="auto"/>
      </w:divBdr>
    </w:div>
    <w:div w:id="135998706">
      <w:bodyDiv w:val="1"/>
      <w:marLeft w:val="0"/>
      <w:marRight w:val="0"/>
      <w:marTop w:val="0"/>
      <w:marBottom w:val="0"/>
      <w:divBdr>
        <w:top w:val="none" w:sz="0" w:space="0" w:color="auto"/>
        <w:left w:val="none" w:sz="0" w:space="0" w:color="auto"/>
        <w:bottom w:val="none" w:sz="0" w:space="0" w:color="auto"/>
        <w:right w:val="none" w:sz="0" w:space="0" w:color="auto"/>
      </w:divBdr>
    </w:div>
    <w:div w:id="196166707">
      <w:bodyDiv w:val="1"/>
      <w:marLeft w:val="0"/>
      <w:marRight w:val="0"/>
      <w:marTop w:val="0"/>
      <w:marBottom w:val="0"/>
      <w:divBdr>
        <w:top w:val="none" w:sz="0" w:space="0" w:color="auto"/>
        <w:left w:val="none" w:sz="0" w:space="0" w:color="auto"/>
        <w:bottom w:val="none" w:sz="0" w:space="0" w:color="auto"/>
        <w:right w:val="none" w:sz="0" w:space="0" w:color="auto"/>
      </w:divBdr>
    </w:div>
    <w:div w:id="203909160">
      <w:bodyDiv w:val="1"/>
      <w:marLeft w:val="0"/>
      <w:marRight w:val="0"/>
      <w:marTop w:val="0"/>
      <w:marBottom w:val="0"/>
      <w:divBdr>
        <w:top w:val="none" w:sz="0" w:space="0" w:color="auto"/>
        <w:left w:val="none" w:sz="0" w:space="0" w:color="auto"/>
        <w:bottom w:val="none" w:sz="0" w:space="0" w:color="auto"/>
        <w:right w:val="none" w:sz="0" w:space="0" w:color="auto"/>
      </w:divBdr>
    </w:div>
    <w:div w:id="204564947">
      <w:bodyDiv w:val="1"/>
      <w:marLeft w:val="0"/>
      <w:marRight w:val="0"/>
      <w:marTop w:val="0"/>
      <w:marBottom w:val="0"/>
      <w:divBdr>
        <w:top w:val="none" w:sz="0" w:space="0" w:color="auto"/>
        <w:left w:val="none" w:sz="0" w:space="0" w:color="auto"/>
        <w:bottom w:val="none" w:sz="0" w:space="0" w:color="auto"/>
        <w:right w:val="none" w:sz="0" w:space="0" w:color="auto"/>
      </w:divBdr>
    </w:div>
    <w:div w:id="216090045">
      <w:bodyDiv w:val="1"/>
      <w:marLeft w:val="0"/>
      <w:marRight w:val="0"/>
      <w:marTop w:val="0"/>
      <w:marBottom w:val="0"/>
      <w:divBdr>
        <w:top w:val="none" w:sz="0" w:space="0" w:color="auto"/>
        <w:left w:val="none" w:sz="0" w:space="0" w:color="auto"/>
        <w:bottom w:val="none" w:sz="0" w:space="0" w:color="auto"/>
        <w:right w:val="none" w:sz="0" w:space="0" w:color="auto"/>
      </w:divBdr>
    </w:div>
    <w:div w:id="240338770">
      <w:bodyDiv w:val="1"/>
      <w:marLeft w:val="0"/>
      <w:marRight w:val="0"/>
      <w:marTop w:val="0"/>
      <w:marBottom w:val="0"/>
      <w:divBdr>
        <w:top w:val="none" w:sz="0" w:space="0" w:color="auto"/>
        <w:left w:val="none" w:sz="0" w:space="0" w:color="auto"/>
        <w:bottom w:val="none" w:sz="0" w:space="0" w:color="auto"/>
        <w:right w:val="none" w:sz="0" w:space="0" w:color="auto"/>
      </w:divBdr>
    </w:div>
    <w:div w:id="259290374">
      <w:bodyDiv w:val="1"/>
      <w:marLeft w:val="0"/>
      <w:marRight w:val="0"/>
      <w:marTop w:val="0"/>
      <w:marBottom w:val="0"/>
      <w:divBdr>
        <w:top w:val="none" w:sz="0" w:space="0" w:color="auto"/>
        <w:left w:val="none" w:sz="0" w:space="0" w:color="auto"/>
        <w:bottom w:val="none" w:sz="0" w:space="0" w:color="auto"/>
        <w:right w:val="none" w:sz="0" w:space="0" w:color="auto"/>
      </w:divBdr>
    </w:div>
    <w:div w:id="271791050">
      <w:bodyDiv w:val="1"/>
      <w:marLeft w:val="0"/>
      <w:marRight w:val="0"/>
      <w:marTop w:val="0"/>
      <w:marBottom w:val="0"/>
      <w:divBdr>
        <w:top w:val="none" w:sz="0" w:space="0" w:color="auto"/>
        <w:left w:val="none" w:sz="0" w:space="0" w:color="auto"/>
        <w:bottom w:val="none" w:sz="0" w:space="0" w:color="auto"/>
        <w:right w:val="none" w:sz="0" w:space="0" w:color="auto"/>
      </w:divBdr>
    </w:div>
    <w:div w:id="279261088">
      <w:bodyDiv w:val="1"/>
      <w:marLeft w:val="0"/>
      <w:marRight w:val="0"/>
      <w:marTop w:val="0"/>
      <w:marBottom w:val="0"/>
      <w:divBdr>
        <w:top w:val="none" w:sz="0" w:space="0" w:color="auto"/>
        <w:left w:val="none" w:sz="0" w:space="0" w:color="auto"/>
        <w:bottom w:val="none" w:sz="0" w:space="0" w:color="auto"/>
        <w:right w:val="none" w:sz="0" w:space="0" w:color="auto"/>
      </w:divBdr>
    </w:div>
    <w:div w:id="280114707">
      <w:bodyDiv w:val="1"/>
      <w:marLeft w:val="0"/>
      <w:marRight w:val="0"/>
      <w:marTop w:val="0"/>
      <w:marBottom w:val="0"/>
      <w:divBdr>
        <w:top w:val="none" w:sz="0" w:space="0" w:color="auto"/>
        <w:left w:val="none" w:sz="0" w:space="0" w:color="auto"/>
        <w:bottom w:val="none" w:sz="0" w:space="0" w:color="auto"/>
        <w:right w:val="none" w:sz="0" w:space="0" w:color="auto"/>
      </w:divBdr>
    </w:div>
    <w:div w:id="302349285">
      <w:bodyDiv w:val="1"/>
      <w:marLeft w:val="0"/>
      <w:marRight w:val="0"/>
      <w:marTop w:val="0"/>
      <w:marBottom w:val="0"/>
      <w:divBdr>
        <w:top w:val="none" w:sz="0" w:space="0" w:color="auto"/>
        <w:left w:val="none" w:sz="0" w:space="0" w:color="auto"/>
        <w:bottom w:val="none" w:sz="0" w:space="0" w:color="auto"/>
        <w:right w:val="none" w:sz="0" w:space="0" w:color="auto"/>
      </w:divBdr>
    </w:div>
    <w:div w:id="308291597">
      <w:bodyDiv w:val="1"/>
      <w:marLeft w:val="0"/>
      <w:marRight w:val="0"/>
      <w:marTop w:val="0"/>
      <w:marBottom w:val="0"/>
      <w:divBdr>
        <w:top w:val="none" w:sz="0" w:space="0" w:color="auto"/>
        <w:left w:val="none" w:sz="0" w:space="0" w:color="auto"/>
        <w:bottom w:val="none" w:sz="0" w:space="0" w:color="auto"/>
        <w:right w:val="none" w:sz="0" w:space="0" w:color="auto"/>
      </w:divBdr>
    </w:div>
    <w:div w:id="327951730">
      <w:bodyDiv w:val="1"/>
      <w:marLeft w:val="0"/>
      <w:marRight w:val="0"/>
      <w:marTop w:val="0"/>
      <w:marBottom w:val="0"/>
      <w:divBdr>
        <w:top w:val="none" w:sz="0" w:space="0" w:color="auto"/>
        <w:left w:val="none" w:sz="0" w:space="0" w:color="auto"/>
        <w:bottom w:val="none" w:sz="0" w:space="0" w:color="auto"/>
        <w:right w:val="none" w:sz="0" w:space="0" w:color="auto"/>
      </w:divBdr>
    </w:div>
    <w:div w:id="380597004">
      <w:bodyDiv w:val="1"/>
      <w:marLeft w:val="0"/>
      <w:marRight w:val="0"/>
      <w:marTop w:val="0"/>
      <w:marBottom w:val="0"/>
      <w:divBdr>
        <w:top w:val="none" w:sz="0" w:space="0" w:color="auto"/>
        <w:left w:val="none" w:sz="0" w:space="0" w:color="auto"/>
        <w:bottom w:val="none" w:sz="0" w:space="0" w:color="auto"/>
        <w:right w:val="none" w:sz="0" w:space="0" w:color="auto"/>
      </w:divBdr>
    </w:div>
    <w:div w:id="435710665">
      <w:bodyDiv w:val="1"/>
      <w:marLeft w:val="0"/>
      <w:marRight w:val="0"/>
      <w:marTop w:val="0"/>
      <w:marBottom w:val="0"/>
      <w:divBdr>
        <w:top w:val="none" w:sz="0" w:space="0" w:color="auto"/>
        <w:left w:val="none" w:sz="0" w:space="0" w:color="auto"/>
        <w:bottom w:val="none" w:sz="0" w:space="0" w:color="auto"/>
        <w:right w:val="none" w:sz="0" w:space="0" w:color="auto"/>
      </w:divBdr>
    </w:div>
    <w:div w:id="450514385">
      <w:bodyDiv w:val="1"/>
      <w:marLeft w:val="0"/>
      <w:marRight w:val="0"/>
      <w:marTop w:val="0"/>
      <w:marBottom w:val="0"/>
      <w:divBdr>
        <w:top w:val="none" w:sz="0" w:space="0" w:color="auto"/>
        <w:left w:val="none" w:sz="0" w:space="0" w:color="auto"/>
        <w:bottom w:val="none" w:sz="0" w:space="0" w:color="auto"/>
        <w:right w:val="none" w:sz="0" w:space="0" w:color="auto"/>
      </w:divBdr>
    </w:div>
    <w:div w:id="472065346">
      <w:bodyDiv w:val="1"/>
      <w:marLeft w:val="0"/>
      <w:marRight w:val="0"/>
      <w:marTop w:val="0"/>
      <w:marBottom w:val="0"/>
      <w:divBdr>
        <w:top w:val="none" w:sz="0" w:space="0" w:color="auto"/>
        <w:left w:val="none" w:sz="0" w:space="0" w:color="auto"/>
        <w:bottom w:val="none" w:sz="0" w:space="0" w:color="auto"/>
        <w:right w:val="none" w:sz="0" w:space="0" w:color="auto"/>
      </w:divBdr>
    </w:div>
    <w:div w:id="559437958">
      <w:bodyDiv w:val="1"/>
      <w:marLeft w:val="0"/>
      <w:marRight w:val="0"/>
      <w:marTop w:val="0"/>
      <w:marBottom w:val="0"/>
      <w:divBdr>
        <w:top w:val="none" w:sz="0" w:space="0" w:color="auto"/>
        <w:left w:val="none" w:sz="0" w:space="0" w:color="auto"/>
        <w:bottom w:val="none" w:sz="0" w:space="0" w:color="auto"/>
        <w:right w:val="none" w:sz="0" w:space="0" w:color="auto"/>
      </w:divBdr>
    </w:div>
    <w:div w:id="587346642">
      <w:bodyDiv w:val="1"/>
      <w:marLeft w:val="0"/>
      <w:marRight w:val="0"/>
      <w:marTop w:val="0"/>
      <w:marBottom w:val="0"/>
      <w:divBdr>
        <w:top w:val="none" w:sz="0" w:space="0" w:color="auto"/>
        <w:left w:val="none" w:sz="0" w:space="0" w:color="auto"/>
        <w:bottom w:val="none" w:sz="0" w:space="0" w:color="auto"/>
        <w:right w:val="none" w:sz="0" w:space="0" w:color="auto"/>
      </w:divBdr>
    </w:div>
    <w:div w:id="587888783">
      <w:bodyDiv w:val="1"/>
      <w:marLeft w:val="0"/>
      <w:marRight w:val="0"/>
      <w:marTop w:val="0"/>
      <w:marBottom w:val="0"/>
      <w:divBdr>
        <w:top w:val="none" w:sz="0" w:space="0" w:color="auto"/>
        <w:left w:val="none" w:sz="0" w:space="0" w:color="auto"/>
        <w:bottom w:val="none" w:sz="0" w:space="0" w:color="auto"/>
        <w:right w:val="none" w:sz="0" w:space="0" w:color="auto"/>
      </w:divBdr>
    </w:div>
    <w:div w:id="618881703">
      <w:bodyDiv w:val="1"/>
      <w:marLeft w:val="0"/>
      <w:marRight w:val="0"/>
      <w:marTop w:val="0"/>
      <w:marBottom w:val="0"/>
      <w:divBdr>
        <w:top w:val="none" w:sz="0" w:space="0" w:color="auto"/>
        <w:left w:val="none" w:sz="0" w:space="0" w:color="auto"/>
        <w:bottom w:val="none" w:sz="0" w:space="0" w:color="auto"/>
        <w:right w:val="none" w:sz="0" w:space="0" w:color="auto"/>
      </w:divBdr>
    </w:div>
    <w:div w:id="618949034">
      <w:bodyDiv w:val="1"/>
      <w:marLeft w:val="0"/>
      <w:marRight w:val="0"/>
      <w:marTop w:val="0"/>
      <w:marBottom w:val="0"/>
      <w:divBdr>
        <w:top w:val="none" w:sz="0" w:space="0" w:color="auto"/>
        <w:left w:val="none" w:sz="0" w:space="0" w:color="auto"/>
        <w:bottom w:val="none" w:sz="0" w:space="0" w:color="auto"/>
        <w:right w:val="none" w:sz="0" w:space="0" w:color="auto"/>
      </w:divBdr>
    </w:div>
    <w:div w:id="707338890">
      <w:bodyDiv w:val="1"/>
      <w:marLeft w:val="0"/>
      <w:marRight w:val="0"/>
      <w:marTop w:val="0"/>
      <w:marBottom w:val="0"/>
      <w:divBdr>
        <w:top w:val="none" w:sz="0" w:space="0" w:color="auto"/>
        <w:left w:val="none" w:sz="0" w:space="0" w:color="auto"/>
        <w:bottom w:val="none" w:sz="0" w:space="0" w:color="auto"/>
        <w:right w:val="none" w:sz="0" w:space="0" w:color="auto"/>
      </w:divBdr>
    </w:div>
    <w:div w:id="772290060">
      <w:bodyDiv w:val="1"/>
      <w:marLeft w:val="0"/>
      <w:marRight w:val="0"/>
      <w:marTop w:val="0"/>
      <w:marBottom w:val="0"/>
      <w:divBdr>
        <w:top w:val="none" w:sz="0" w:space="0" w:color="auto"/>
        <w:left w:val="none" w:sz="0" w:space="0" w:color="auto"/>
        <w:bottom w:val="none" w:sz="0" w:space="0" w:color="auto"/>
        <w:right w:val="none" w:sz="0" w:space="0" w:color="auto"/>
      </w:divBdr>
    </w:div>
    <w:div w:id="779496754">
      <w:bodyDiv w:val="1"/>
      <w:marLeft w:val="0"/>
      <w:marRight w:val="0"/>
      <w:marTop w:val="0"/>
      <w:marBottom w:val="0"/>
      <w:divBdr>
        <w:top w:val="none" w:sz="0" w:space="0" w:color="auto"/>
        <w:left w:val="none" w:sz="0" w:space="0" w:color="auto"/>
        <w:bottom w:val="none" w:sz="0" w:space="0" w:color="auto"/>
        <w:right w:val="none" w:sz="0" w:space="0" w:color="auto"/>
      </w:divBdr>
    </w:div>
    <w:div w:id="789478284">
      <w:bodyDiv w:val="1"/>
      <w:marLeft w:val="0"/>
      <w:marRight w:val="0"/>
      <w:marTop w:val="0"/>
      <w:marBottom w:val="0"/>
      <w:divBdr>
        <w:top w:val="none" w:sz="0" w:space="0" w:color="auto"/>
        <w:left w:val="none" w:sz="0" w:space="0" w:color="auto"/>
        <w:bottom w:val="none" w:sz="0" w:space="0" w:color="auto"/>
        <w:right w:val="none" w:sz="0" w:space="0" w:color="auto"/>
      </w:divBdr>
    </w:div>
    <w:div w:id="797139871">
      <w:bodyDiv w:val="1"/>
      <w:marLeft w:val="0"/>
      <w:marRight w:val="0"/>
      <w:marTop w:val="0"/>
      <w:marBottom w:val="0"/>
      <w:divBdr>
        <w:top w:val="none" w:sz="0" w:space="0" w:color="auto"/>
        <w:left w:val="none" w:sz="0" w:space="0" w:color="auto"/>
        <w:bottom w:val="none" w:sz="0" w:space="0" w:color="auto"/>
        <w:right w:val="none" w:sz="0" w:space="0" w:color="auto"/>
      </w:divBdr>
    </w:div>
    <w:div w:id="841969590">
      <w:bodyDiv w:val="1"/>
      <w:marLeft w:val="0"/>
      <w:marRight w:val="0"/>
      <w:marTop w:val="0"/>
      <w:marBottom w:val="0"/>
      <w:divBdr>
        <w:top w:val="none" w:sz="0" w:space="0" w:color="auto"/>
        <w:left w:val="none" w:sz="0" w:space="0" w:color="auto"/>
        <w:bottom w:val="none" w:sz="0" w:space="0" w:color="auto"/>
        <w:right w:val="none" w:sz="0" w:space="0" w:color="auto"/>
      </w:divBdr>
    </w:div>
    <w:div w:id="878516694">
      <w:bodyDiv w:val="1"/>
      <w:marLeft w:val="0"/>
      <w:marRight w:val="0"/>
      <w:marTop w:val="0"/>
      <w:marBottom w:val="0"/>
      <w:divBdr>
        <w:top w:val="none" w:sz="0" w:space="0" w:color="auto"/>
        <w:left w:val="none" w:sz="0" w:space="0" w:color="auto"/>
        <w:bottom w:val="none" w:sz="0" w:space="0" w:color="auto"/>
        <w:right w:val="none" w:sz="0" w:space="0" w:color="auto"/>
      </w:divBdr>
    </w:div>
    <w:div w:id="881209680">
      <w:bodyDiv w:val="1"/>
      <w:marLeft w:val="0"/>
      <w:marRight w:val="0"/>
      <w:marTop w:val="0"/>
      <w:marBottom w:val="0"/>
      <w:divBdr>
        <w:top w:val="none" w:sz="0" w:space="0" w:color="auto"/>
        <w:left w:val="none" w:sz="0" w:space="0" w:color="auto"/>
        <w:bottom w:val="none" w:sz="0" w:space="0" w:color="auto"/>
        <w:right w:val="none" w:sz="0" w:space="0" w:color="auto"/>
      </w:divBdr>
    </w:div>
    <w:div w:id="897282818">
      <w:bodyDiv w:val="1"/>
      <w:marLeft w:val="0"/>
      <w:marRight w:val="0"/>
      <w:marTop w:val="0"/>
      <w:marBottom w:val="0"/>
      <w:divBdr>
        <w:top w:val="none" w:sz="0" w:space="0" w:color="auto"/>
        <w:left w:val="none" w:sz="0" w:space="0" w:color="auto"/>
        <w:bottom w:val="none" w:sz="0" w:space="0" w:color="auto"/>
        <w:right w:val="none" w:sz="0" w:space="0" w:color="auto"/>
      </w:divBdr>
    </w:div>
    <w:div w:id="928122708">
      <w:bodyDiv w:val="1"/>
      <w:marLeft w:val="0"/>
      <w:marRight w:val="0"/>
      <w:marTop w:val="0"/>
      <w:marBottom w:val="0"/>
      <w:divBdr>
        <w:top w:val="none" w:sz="0" w:space="0" w:color="auto"/>
        <w:left w:val="none" w:sz="0" w:space="0" w:color="auto"/>
        <w:bottom w:val="none" w:sz="0" w:space="0" w:color="auto"/>
        <w:right w:val="none" w:sz="0" w:space="0" w:color="auto"/>
      </w:divBdr>
    </w:div>
    <w:div w:id="946278261">
      <w:bodyDiv w:val="1"/>
      <w:marLeft w:val="0"/>
      <w:marRight w:val="0"/>
      <w:marTop w:val="0"/>
      <w:marBottom w:val="0"/>
      <w:divBdr>
        <w:top w:val="none" w:sz="0" w:space="0" w:color="auto"/>
        <w:left w:val="none" w:sz="0" w:space="0" w:color="auto"/>
        <w:bottom w:val="none" w:sz="0" w:space="0" w:color="auto"/>
        <w:right w:val="none" w:sz="0" w:space="0" w:color="auto"/>
      </w:divBdr>
    </w:div>
    <w:div w:id="989209507">
      <w:bodyDiv w:val="1"/>
      <w:marLeft w:val="0"/>
      <w:marRight w:val="0"/>
      <w:marTop w:val="0"/>
      <w:marBottom w:val="0"/>
      <w:divBdr>
        <w:top w:val="none" w:sz="0" w:space="0" w:color="auto"/>
        <w:left w:val="none" w:sz="0" w:space="0" w:color="auto"/>
        <w:bottom w:val="none" w:sz="0" w:space="0" w:color="auto"/>
        <w:right w:val="none" w:sz="0" w:space="0" w:color="auto"/>
      </w:divBdr>
    </w:div>
    <w:div w:id="1021397162">
      <w:bodyDiv w:val="1"/>
      <w:marLeft w:val="0"/>
      <w:marRight w:val="0"/>
      <w:marTop w:val="0"/>
      <w:marBottom w:val="0"/>
      <w:divBdr>
        <w:top w:val="none" w:sz="0" w:space="0" w:color="auto"/>
        <w:left w:val="none" w:sz="0" w:space="0" w:color="auto"/>
        <w:bottom w:val="none" w:sz="0" w:space="0" w:color="auto"/>
        <w:right w:val="none" w:sz="0" w:space="0" w:color="auto"/>
      </w:divBdr>
    </w:div>
    <w:div w:id="1024525579">
      <w:bodyDiv w:val="1"/>
      <w:marLeft w:val="0"/>
      <w:marRight w:val="0"/>
      <w:marTop w:val="0"/>
      <w:marBottom w:val="0"/>
      <w:divBdr>
        <w:top w:val="none" w:sz="0" w:space="0" w:color="auto"/>
        <w:left w:val="none" w:sz="0" w:space="0" w:color="auto"/>
        <w:bottom w:val="none" w:sz="0" w:space="0" w:color="auto"/>
        <w:right w:val="none" w:sz="0" w:space="0" w:color="auto"/>
      </w:divBdr>
    </w:div>
    <w:div w:id="1039210981">
      <w:bodyDiv w:val="1"/>
      <w:marLeft w:val="0"/>
      <w:marRight w:val="0"/>
      <w:marTop w:val="0"/>
      <w:marBottom w:val="0"/>
      <w:divBdr>
        <w:top w:val="none" w:sz="0" w:space="0" w:color="auto"/>
        <w:left w:val="none" w:sz="0" w:space="0" w:color="auto"/>
        <w:bottom w:val="none" w:sz="0" w:space="0" w:color="auto"/>
        <w:right w:val="none" w:sz="0" w:space="0" w:color="auto"/>
      </w:divBdr>
    </w:div>
    <w:div w:id="1077478080">
      <w:bodyDiv w:val="1"/>
      <w:marLeft w:val="0"/>
      <w:marRight w:val="0"/>
      <w:marTop w:val="0"/>
      <w:marBottom w:val="0"/>
      <w:divBdr>
        <w:top w:val="none" w:sz="0" w:space="0" w:color="auto"/>
        <w:left w:val="none" w:sz="0" w:space="0" w:color="auto"/>
        <w:bottom w:val="none" w:sz="0" w:space="0" w:color="auto"/>
        <w:right w:val="none" w:sz="0" w:space="0" w:color="auto"/>
      </w:divBdr>
    </w:div>
    <w:div w:id="1128816609">
      <w:bodyDiv w:val="1"/>
      <w:marLeft w:val="0"/>
      <w:marRight w:val="0"/>
      <w:marTop w:val="0"/>
      <w:marBottom w:val="0"/>
      <w:divBdr>
        <w:top w:val="none" w:sz="0" w:space="0" w:color="auto"/>
        <w:left w:val="none" w:sz="0" w:space="0" w:color="auto"/>
        <w:bottom w:val="none" w:sz="0" w:space="0" w:color="auto"/>
        <w:right w:val="none" w:sz="0" w:space="0" w:color="auto"/>
      </w:divBdr>
    </w:div>
    <w:div w:id="1147354558">
      <w:bodyDiv w:val="1"/>
      <w:marLeft w:val="0"/>
      <w:marRight w:val="0"/>
      <w:marTop w:val="0"/>
      <w:marBottom w:val="0"/>
      <w:divBdr>
        <w:top w:val="none" w:sz="0" w:space="0" w:color="auto"/>
        <w:left w:val="none" w:sz="0" w:space="0" w:color="auto"/>
        <w:bottom w:val="none" w:sz="0" w:space="0" w:color="auto"/>
        <w:right w:val="none" w:sz="0" w:space="0" w:color="auto"/>
      </w:divBdr>
    </w:div>
    <w:div w:id="1156994669">
      <w:bodyDiv w:val="1"/>
      <w:marLeft w:val="0"/>
      <w:marRight w:val="0"/>
      <w:marTop w:val="0"/>
      <w:marBottom w:val="0"/>
      <w:divBdr>
        <w:top w:val="none" w:sz="0" w:space="0" w:color="auto"/>
        <w:left w:val="none" w:sz="0" w:space="0" w:color="auto"/>
        <w:bottom w:val="none" w:sz="0" w:space="0" w:color="auto"/>
        <w:right w:val="none" w:sz="0" w:space="0" w:color="auto"/>
      </w:divBdr>
    </w:div>
    <w:div w:id="1158810363">
      <w:bodyDiv w:val="1"/>
      <w:marLeft w:val="0"/>
      <w:marRight w:val="0"/>
      <w:marTop w:val="0"/>
      <w:marBottom w:val="0"/>
      <w:divBdr>
        <w:top w:val="none" w:sz="0" w:space="0" w:color="auto"/>
        <w:left w:val="none" w:sz="0" w:space="0" w:color="auto"/>
        <w:bottom w:val="none" w:sz="0" w:space="0" w:color="auto"/>
        <w:right w:val="none" w:sz="0" w:space="0" w:color="auto"/>
      </w:divBdr>
    </w:div>
    <w:div w:id="1298297439">
      <w:bodyDiv w:val="1"/>
      <w:marLeft w:val="0"/>
      <w:marRight w:val="0"/>
      <w:marTop w:val="0"/>
      <w:marBottom w:val="0"/>
      <w:divBdr>
        <w:top w:val="none" w:sz="0" w:space="0" w:color="auto"/>
        <w:left w:val="none" w:sz="0" w:space="0" w:color="auto"/>
        <w:bottom w:val="none" w:sz="0" w:space="0" w:color="auto"/>
        <w:right w:val="none" w:sz="0" w:space="0" w:color="auto"/>
      </w:divBdr>
    </w:div>
    <w:div w:id="1359233099">
      <w:bodyDiv w:val="1"/>
      <w:marLeft w:val="0"/>
      <w:marRight w:val="0"/>
      <w:marTop w:val="0"/>
      <w:marBottom w:val="0"/>
      <w:divBdr>
        <w:top w:val="none" w:sz="0" w:space="0" w:color="auto"/>
        <w:left w:val="none" w:sz="0" w:space="0" w:color="auto"/>
        <w:bottom w:val="none" w:sz="0" w:space="0" w:color="auto"/>
        <w:right w:val="none" w:sz="0" w:space="0" w:color="auto"/>
      </w:divBdr>
    </w:div>
    <w:div w:id="1370034252">
      <w:bodyDiv w:val="1"/>
      <w:marLeft w:val="0"/>
      <w:marRight w:val="0"/>
      <w:marTop w:val="0"/>
      <w:marBottom w:val="0"/>
      <w:divBdr>
        <w:top w:val="none" w:sz="0" w:space="0" w:color="auto"/>
        <w:left w:val="none" w:sz="0" w:space="0" w:color="auto"/>
        <w:bottom w:val="none" w:sz="0" w:space="0" w:color="auto"/>
        <w:right w:val="none" w:sz="0" w:space="0" w:color="auto"/>
      </w:divBdr>
    </w:div>
    <w:div w:id="1383990183">
      <w:bodyDiv w:val="1"/>
      <w:marLeft w:val="0"/>
      <w:marRight w:val="0"/>
      <w:marTop w:val="0"/>
      <w:marBottom w:val="0"/>
      <w:divBdr>
        <w:top w:val="none" w:sz="0" w:space="0" w:color="auto"/>
        <w:left w:val="none" w:sz="0" w:space="0" w:color="auto"/>
        <w:bottom w:val="none" w:sz="0" w:space="0" w:color="auto"/>
        <w:right w:val="none" w:sz="0" w:space="0" w:color="auto"/>
      </w:divBdr>
    </w:div>
    <w:div w:id="1404253718">
      <w:bodyDiv w:val="1"/>
      <w:marLeft w:val="0"/>
      <w:marRight w:val="0"/>
      <w:marTop w:val="0"/>
      <w:marBottom w:val="0"/>
      <w:divBdr>
        <w:top w:val="none" w:sz="0" w:space="0" w:color="auto"/>
        <w:left w:val="none" w:sz="0" w:space="0" w:color="auto"/>
        <w:bottom w:val="none" w:sz="0" w:space="0" w:color="auto"/>
        <w:right w:val="none" w:sz="0" w:space="0" w:color="auto"/>
      </w:divBdr>
    </w:div>
    <w:div w:id="1416972111">
      <w:bodyDiv w:val="1"/>
      <w:marLeft w:val="0"/>
      <w:marRight w:val="0"/>
      <w:marTop w:val="0"/>
      <w:marBottom w:val="0"/>
      <w:divBdr>
        <w:top w:val="none" w:sz="0" w:space="0" w:color="auto"/>
        <w:left w:val="none" w:sz="0" w:space="0" w:color="auto"/>
        <w:bottom w:val="none" w:sz="0" w:space="0" w:color="auto"/>
        <w:right w:val="none" w:sz="0" w:space="0" w:color="auto"/>
      </w:divBdr>
    </w:div>
    <w:div w:id="1445688601">
      <w:bodyDiv w:val="1"/>
      <w:marLeft w:val="0"/>
      <w:marRight w:val="0"/>
      <w:marTop w:val="0"/>
      <w:marBottom w:val="0"/>
      <w:divBdr>
        <w:top w:val="none" w:sz="0" w:space="0" w:color="auto"/>
        <w:left w:val="none" w:sz="0" w:space="0" w:color="auto"/>
        <w:bottom w:val="none" w:sz="0" w:space="0" w:color="auto"/>
        <w:right w:val="none" w:sz="0" w:space="0" w:color="auto"/>
      </w:divBdr>
    </w:div>
    <w:div w:id="1457412184">
      <w:bodyDiv w:val="1"/>
      <w:marLeft w:val="0"/>
      <w:marRight w:val="0"/>
      <w:marTop w:val="0"/>
      <w:marBottom w:val="0"/>
      <w:divBdr>
        <w:top w:val="none" w:sz="0" w:space="0" w:color="auto"/>
        <w:left w:val="none" w:sz="0" w:space="0" w:color="auto"/>
        <w:bottom w:val="none" w:sz="0" w:space="0" w:color="auto"/>
        <w:right w:val="none" w:sz="0" w:space="0" w:color="auto"/>
      </w:divBdr>
    </w:div>
    <w:div w:id="1575630112">
      <w:bodyDiv w:val="1"/>
      <w:marLeft w:val="0"/>
      <w:marRight w:val="0"/>
      <w:marTop w:val="0"/>
      <w:marBottom w:val="0"/>
      <w:divBdr>
        <w:top w:val="none" w:sz="0" w:space="0" w:color="auto"/>
        <w:left w:val="none" w:sz="0" w:space="0" w:color="auto"/>
        <w:bottom w:val="none" w:sz="0" w:space="0" w:color="auto"/>
        <w:right w:val="none" w:sz="0" w:space="0" w:color="auto"/>
      </w:divBdr>
    </w:div>
    <w:div w:id="1597865714">
      <w:bodyDiv w:val="1"/>
      <w:marLeft w:val="0"/>
      <w:marRight w:val="0"/>
      <w:marTop w:val="0"/>
      <w:marBottom w:val="0"/>
      <w:divBdr>
        <w:top w:val="none" w:sz="0" w:space="0" w:color="auto"/>
        <w:left w:val="none" w:sz="0" w:space="0" w:color="auto"/>
        <w:bottom w:val="none" w:sz="0" w:space="0" w:color="auto"/>
        <w:right w:val="none" w:sz="0" w:space="0" w:color="auto"/>
      </w:divBdr>
    </w:div>
    <w:div w:id="1648512607">
      <w:bodyDiv w:val="1"/>
      <w:marLeft w:val="0"/>
      <w:marRight w:val="0"/>
      <w:marTop w:val="0"/>
      <w:marBottom w:val="0"/>
      <w:divBdr>
        <w:top w:val="none" w:sz="0" w:space="0" w:color="auto"/>
        <w:left w:val="none" w:sz="0" w:space="0" w:color="auto"/>
        <w:bottom w:val="none" w:sz="0" w:space="0" w:color="auto"/>
        <w:right w:val="none" w:sz="0" w:space="0" w:color="auto"/>
      </w:divBdr>
    </w:div>
    <w:div w:id="1671103599">
      <w:bodyDiv w:val="1"/>
      <w:marLeft w:val="0"/>
      <w:marRight w:val="0"/>
      <w:marTop w:val="0"/>
      <w:marBottom w:val="0"/>
      <w:divBdr>
        <w:top w:val="none" w:sz="0" w:space="0" w:color="auto"/>
        <w:left w:val="none" w:sz="0" w:space="0" w:color="auto"/>
        <w:bottom w:val="none" w:sz="0" w:space="0" w:color="auto"/>
        <w:right w:val="none" w:sz="0" w:space="0" w:color="auto"/>
      </w:divBdr>
    </w:div>
    <w:div w:id="1693649761">
      <w:bodyDiv w:val="1"/>
      <w:marLeft w:val="0"/>
      <w:marRight w:val="0"/>
      <w:marTop w:val="0"/>
      <w:marBottom w:val="0"/>
      <w:divBdr>
        <w:top w:val="none" w:sz="0" w:space="0" w:color="auto"/>
        <w:left w:val="none" w:sz="0" w:space="0" w:color="auto"/>
        <w:bottom w:val="none" w:sz="0" w:space="0" w:color="auto"/>
        <w:right w:val="none" w:sz="0" w:space="0" w:color="auto"/>
      </w:divBdr>
    </w:div>
    <w:div w:id="1693728561">
      <w:bodyDiv w:val="1"/>
      <w:marLeft w:val="0"/>
      <w:marRight w:val="0"/>
      <w:marTop w:val="0"/>
      <w:marBottom w:val="0"/>
      <w:divBdr>
        <w:top w:val="none" w:sz="0" w:space="0" w:color="auto"/>
        <w:left w:val="none" w:sz="0" w:space="0" w:color="auto"/>
        <w:bottom w:val="none" w:sz="0" w:space="0" w:color="auto"/>
        <w:right w:val="none" w:sz="0" w:space="0" w:color="auto"/>
      </w:divBdr>
    </w:div>
    <w:div w:id="1706129765">
      <w:bodyDiv w:val="1"/>
      <w:marLeft w:val="0"/>
      <w:marRight w:val="0"/>
      <w:marTop w:val="0"/>
      <w:marBottom w:val="0"/>
      <w:divBdr>
        <w:top w:val="none" w:sz="0" w:space="0" w:color="auto"/>
        <w:left w:val="none" w:sz="0" w:space="0" w:color="auto"/>
        <w:bottom w:val="none" w:sz="0" w:space="0" w:color="auto"/>
        <w:right w:val="none" w:sz="0" w:space="0" w:color="auto"/>
      </w:divBdr>
    </w:div>
    <w:div w:id="1722902870">
      <w:bodyDiv w:val="1"/>
      <w:marLeft w:val="0"/>
      <w:marRight w:val="0"/>
      <w:marTop w:val="0"/>
      <w:marBottom w:val="0"/>
      <w:divBdr>
        <w:top w:val="none" w:sz="0" w:space="0" w:color="auto"/>
        <w:left w:val="none" w:sz="0" w:space="0" w:color="auto"/>
        <w:bottom w:val="none" w:sz="0" w:space="0" w:color="auto"/>
        <w:right w:val="none" w:sz="0" w:space="0" w:color="auto"/>
      </w:divBdr>
    </w:div>
    <w:div w:id="1750809791">
      <w:bodyDiv w:val="1"/>
      <w:marLeft w:val="0"/>
      <w:marRight w:val="0"/>
      <w:marTop w:val="0"/>
      <w:marBottom w:val="0"/>
      <w:divBdr>
        <w:top w:val="none" w:sz="0" w:space="0" w:color="auto"/>
        <w:left w:val="none" w:sz="0" w:space="0" w:color="auto"/>
        <w:bottom w:val="none" w:sz="0" w:space="0" w:color="auto"/>
        <w:right w:val="none" w:sz="0" w:space="0" w:color="auto"/>
      </w:divBdr>
    </w:div>
    <w:div w:id="1808086780">
      <w:bodyDiv w:val="1"/>
      <w:marLeft w:val="0"/>
      <w:marRight w:val="0"/>
      <w:marTop w:val="0"/>
      <w:marBottom w:val="0"/>
      <w:divBdr>
        <w:top w:val="none" w:sz="0" w:space="0" w:color="auto"/>
        <w:left w:val="none" w:sz="0" w:space="0" w:color="auto"/>
        <w:bottom w:val="none" w:sz="0" w:space="0" w:color="auto"/>
        <w:right w:val="none" w:sz="0" w:space="0" w:color="auto"/>
      </w:divBdr>
    </w:div>
    <w:div w:id="1811097798">
      <w:bodyDiv w:val="1"/>
      <w:marLeft w:val="0"/>
      <w:marRight w:val="0"/>
      <w:marTop w:val="0"/>
      <w:marBottom w:val="0"/>
      <w:divBdr>
        <w:top w:val="none" w:sz="0" w:space="0" w:color="auto"/>
        <w:left w:val="none" w:sz="0" w:space="0" w:color="auto"/>
        <w:bottom w:val="none" w:sz="0" w:space="0" w:color="auto"/>
        <w:right w:val="none" w:sz="0" w:space="0" w:color="auto"/>
      </w:divBdr>
    </w:div>
    <w:div w:id="1864593751">
      <w:bodyDiv w:val="1"/>
      <w:marLeft w:val="0"/>
      <w:marRight w:val="0"/>
      <w:marTop w:val="0"/>
      <w:marBottom w:val="0"/>
      <w:divBdr>
        <w:top w:val="none" w:sz="0" w:space="0" w:color="auto"/>
        <w:left w:val="none" w:sz="0" w:space="0" w:color="auto"/>
        <w:bottom w:val="none" w:sz="0" w:space="0" w:color="auto"/>
        <w:right w:val="none" w:sz="0" w:space="0" w:color="auto"/>
      </w:divBdr>
    </w:div>
    <w:div w:id="1874999050">
      <w:bodyDiv w:val="1"/>
      <w:marLeft w:val="0"/>
      <w:marRight w:val="0"/>
      <w:marTop w:val="0"/>
      <w:marBottom w:val="0"/>
      <w:divBdr>
        <w:top w:val="none" w:sz="0" w:space="0" w:color="auto"/>
        <w:left w:val="none" w:sz="0" w:space="0" w:color="auto"/>
        <w:bottom w:val="none" w:sz="0" w:space="0" w:color="auto"/>
        <w:right w:val="none" w:sz="0" w:space="0" w:color="auto"/>
      </w:divBdr>
    </w:div>
    <w:div w:id="1903758485">
      <w:bodyDiv w:val="1"/>
      <w:marLeft w:val="0"/>
      <w:marRight w:val="0"/>
      <w:marTop w:val="0"/>
      <w:marBottom w:val="0"/>
      <w:divBdr>
        <w:top w:val="none" w:sz="0" w:space="0" w:color="auto"/>
        <w:left w:val="none" w:sz="0" w:space="0" w:color="auto"/>
        <w:bottom w:val="none" w:sz="0" w:space="0" w:color="auto"/>
        <w:right w:val="none" w:sz="0" w:space="0" w:color="auto"/>
      </w:divBdr>
    </w:div>
    <w:div w:id="1909150398">
      <w:bodyDiv w:val="1"/>
      <w:marLeft w:val="0"/>
      <w:marRight w:val="0"/>
      <w:marTop w:val="0"/>
      <w:marBottom w:val="0"/>
      <w:divBdr>
        <w:top w:val="none" w:sz="0" w:space="0" w:color="auto"/>
        <w:left w:val="none" w:sz="0" w:space="0" w:color="auto"/>
        <w:bottom w:val="none" w:sz="0" w:space="0" w:color="auto"/>
        <w:right w:val="none" w:sz="0" w:space="0" w:color="auto"/>
      </w:divBdr>
    </w:div>
    <w:div w:id="1938558799">
      <w:bodyDiv w:val="1"/>
      <w:marLeft w:val="0"/>
      <w:marRight w:val="0"/>
      <w:marTop w:val="0"/>
      <w:marBottom w:val="0"/>
      <w:divBdr>
        <w:top w:val="none" w:sz="0" w:space="0" w:color="auto"/>
        <w:left w:val="none" w:sz="0" w:space="0" w:color="auto"/>
        <w:bottom w:val="none" w:sz="0" w:space="0" w:color="auto"/>
        <w:right w:val="none" w:sz="0" w:space="0" w:color="auto"/>
      </w:divBdr>
    </w:div>
    <w:div w:id="1994679211">
      <w:bodyDiv w:val="1"/>
      <w:marLeft w:val="0"/>
      <w:marRight w:val="0"/>
      <w:marTop w:val="0"/>
      <w:marBottom w:val="0"/>
      <w:divBdr>
        <w:top w:val="none" w:sz="0" w:space="0" w:color="auto"/>
        <w:left w:val="none" w:sz="0" w:space="0" w:color="auto"/>
        <w:bottom w:val="none" w:sz="0" w:space="0" w:color="auto"/>
        <w:right w:val="none" w:sz="0" w:space="0" w:color="auto"/>
      </w:divBdr>
    </w:div>
    <w:div w:id="2004773695">
      <w:bodyDiv w:val="1"/>
      <w:marLeft w:val="0"/>
      <w:marRight w:val="0"/>
      <w:marTop w:val="0"/>
      <w:marBottom w:val="0"/>
      <w:divBdr>
        <w:top w:val="none" w:sz="0" w:space="0" w:color="auto"/>
        <w:left w:val="none" w:sz="0" w:space="0" w:color="auto"/>
        <w:bottom w:val="none" w:sz="0" w:space="0" w:color="auto"/>
        <w:right w:val="none" w:sz="0" w:space="0" w:color="auto"/>
      </w:divBdr>
    </w:div>
    <w:div w:id="2009359770">
      <w:bodyDiv w:val="1"/>
      <w:marLeft w:val="0"/>
      <w:marRight w:val="0"/>
      <w:marTop w:val="0"/>
      <w:marBottom w:val="0"/>
      <w:divBdr>
        <w:top w:val="none" w:sz="0" w:space="0" w:color="auto"/>
        <w:left w:val="none" w:sz="0" w:space="0" w:color="auto"/>
        <w:bottom w:val="none" w:sz="0" w:space="0" w:color="auto"/>
        <w:right w:val="none" w:sz="0" w:space="0" w:color="auto"/>
      </w:divBdr>
    </w:div>
    <w:div w:id="2038774184">
      <w:bodyDiv w:val="1"/>
      <w:marLeft w:val="0"/>
      <w:marRight w:val="0"/>
      <w:marTop w:val="0"/>
      <w:marBottom w:val="0"/>
      <w:divBdr>
        <w:top w:val="none" w:sz="0" w:space="0" w:color="auto"/>
        <w:left w:val="none" w:sz="0" w:space="0" w:color="auto"/>
        <w:bottom w:val="none" w:sz="0" w:space="0" w:color="auto"/>
        <w:right w:val="none" w:sz="0" w:space="0" w:color="auto"/>
      </w:divBdr>
    </w:div>
    <w:div w:id="2070491365">
      <w:bodyDiv w:val="1"/>
      <w:marLeft w:val="0"/>
      <w:marRight w:val="0"/>
      <w:marTop w:val="0"/>
      <w:marBottom w:val="0"/>
      <w:divBdr>
        <w:top w:val="none" w:sz="0" w:space="0" w:color="auto"/>
        <w:left w:val="none" w:sz="0" w:space="0" w:color="auto"/>
        <w:bottom w:val="none" w:sz="0" w:space="0" w:color="auto"/>
        <w:right w:val="none" w:sz="0" w:space="0" w:color="auto"/>
      </w:divBdr>
    </w:div>
    <w:div w:id="2071414503">
      <w:bodyDiv w:val="1"/>
      <w:marLeft w:val="0"/>
      <w:marRight w:val="0"/>
      <w:marTop w:val="0"/>
      <w:marBottom w:val="0"/>
      <w:divBdr>
        <w:top w:val="none" w:sz="0" w:space="0" w:color="auto"/>
        <w:left w:val="none" w:sz="0" w:space="0" w:color="auto"/>
        <w:bottom w:val="none" w:sz="0" w:space="0" w:color="auto"/>
        <w:right w:val="none" w:sz="0" w:space="0" w:color="auto"/>
      </w:divBdr>
    </w:div>
    <w:div w:id="2100711244">
      <w:bodyDiv w:val="1"/>
      <w:marLeft w:val="0"/>
      <w:marRight w:val="0"/>
      <w:marTop w:val="0"/>
      <w:marBottom w:val="0"/>
      <w:divBdr>
        <w:top w:val="none" w:sz="0" w:space="0" w:color="auto"/>
        <w:left w:val="none" w:sz="0" w:space="0" w:color="auto"/>
        <w:bottom w:val="none" w:sz="0" w:space="0" w:color="auto"/>
        <w:right w:val="none" w:sz="0" w:space="0" w:color="auto"/>
      </w:divBdr>
    </w:div>
    <w:div w:id="2112780317">
      <w:bodyDiv w:val="1"/>
      <w:marLeft w:val="0"/>
      <w:marRight w:val="0"/>
      <w:marTop w:val="0"/>
      <w:marBottom w:val="0"/>
      <w:divBdr>
        <w:top w:val="none" w:sz="0" w:space="0" w:color="auto"/>
        <w:left w:val="none" w:sz="0" w:space="0" w:color="auto"/>
        <w:bottom w:val="none" w:sz="0" w:space="0" w:color="auto"/>
        <w:right w:val="none" w:sz="0" w:space="0" w:color="auto"/>
      </w:divBdr>
    </w:div>
    <w:div w:id="2115710223">
      <w:bodyDiv w:val="1"/>
      <w:marLeft w:val="0"/>
      <w:marRight w:val="0"/>
      <w:marTop w:val="0"/>
      <w:marBottom w:val="0"/>
      <w:divBdr>
        <w:top w:val="none" w:sz="0" w:space="0" w:color="auto"/>
        <w:left w:val="none" w:sz="0" w:space="0" w:color="auto"/>
        <w:bottom w:val="none" w:sz="0" w:space="0" w:color="auto"/>
        <w:right w:val="none" w:sz="0" w:space="0" w:color="auto"/>
      </w:divBdr>
    </w:div>
    <w:div w:id="2145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6179-C762-4DDE-AC53-393010D7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10</Pages>
  <Words>3082</Words>
  <Characters>23636</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I</vt:lpstr>
    </vt:vector>
  </TitlesOfParts>
  <Company>Informatikai Iroda</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Stéger Gábor</dc:creator>
  <cp:keywords/>
  <dc:description/>
  <cp:lastModifiedBy>Szakács Eszter</cp:lastModifiedBy>
  <cp:revision>193</cp:revision>
  <cp:lastPrinted>2025-09-11T10:31:00Z</cp:lastPrinted>
  <dcterms:created xsi:type="dcterms:W3CDTF">2025-03-13T09:02:00Z</dcterms:created>
  <dcterms:modified xsi:type="dcterms:W3CDTF">2025-09-16T11:05:00Z</dcterms:modified>
</cp:coreProperties>
</file>