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5C8D0" w14:textId="77777777" w:rsidR="00D264FD" w:rsidRPr="00D264FD" w:rsidRDefault="00D264FD" w:rsidP="00D264FD">
      <w:pPr>
        <w:keepNext/>
        <w:jc w:val="center"/>
        <w:outlineLvl w:val="0"/>
        <w:rPr>
          <w:rFonts w:eastAsia="Times New Roman"/>
          <w:b/>
          <w:bCs/>
          <w:lang w:eastAsia="hu-HU"/>
        </w:rPr>
      </w:pPr>
      <w:r w:rsidRPr="00D264FD">
        <w:rPr>
          <w:rFonts w:eastAsia="Times New Roman"/>
          <w:b/>
          <w:bCs/>
          <w:lang w:eastAsia="hu-HU"/>
        </w:rPr>
        <w:t>Szombathely Megyei Jogú Város Önkormányzata Közgyűlésének</w:t>
      </w:r>
    </w:p>
    <w:p w14:paraId="3385BDBD" w14:textId="77777777" w:rsidR="00D264FD" w:rsidRPr="00D264FD" w:rsidRDefault="00D264FD" w:rsidP="00D264FD">
      <w:pPr>
        <w:keepNext/>
        <w:jc w:val="center"/>
        <w:outlineLvl w:val="0"/>
        <w:rPr>
          <w:rFonts w:eastAsia="Times New Roman"/>
          <w:b/>
          <w:bCs/>
          <w:lang w:eastAsia="hu-HU"/>
        </w:rPr>
      </w:pPr>
      <w:proofErr w:type="gramStart"/>
      <w:r w:rsidRPr="00D264FD">
        <w:rPr>
          <w:rFonts w:eastAsia="Times New Roman"/>
          <w:b/>
          <w:bCs/>
          <w:lang w:eastAsia="hu-HU"/>
        </w:rPr>
        <w:t>.…</w:t>
      </w:r>
      <w:proofErr w:type="gramEnd"/>
      <w:r w:rsidRPr="00D264FD">
        <w:rPr>
          <w:rFonts w:eastAsia="Times New Roman"/>
          <w:b/>
          <w:bCs/>
          <w:lang w:eastAsia="hu-HU"/>
        </w:rPr>
        <w:t>/2025. (</w:t>
      </w:r>
      <w:proofErr w:type="gramStart"/>
      <w:r w:rsidRPr="00D264FD">
        <w:rPr>
          <w:rFonts w:eastAsia="Times New Roman"/>
          <w:b/>
          <w:bCs/>
          <w:lang w:eastAsia="hu-HU"/>
        </w:rPr>
        <w:t>…….</w:t>
      </w:r>
      <w:proofErr w:type="gramEnd"/>
      <w:r w:rsidRPr="00D264FD">
        <w:rPr>
          <w:rFonts w:eastAsia="Times New Roman"/>
          <w:b/>
          <w:bCs/>
          <w:lang w:eastAsia="hu-HU"/>
        </w:rPr>
        <w:t>.) önkormányzati rendelete</w:t>
      </w:r>
    </w:p>
    <w:p w14:paraId="2CCCBDE6" w14:textId="77777777" w:rsidR="00D264FD" w:rsidRPr="00D264FD" w:rsidRDefault="00D264FD" w:rsidP="00D264FD">
      <w:pPr>
        <w:keepNext/>
        <w:jc w:val="center"/>
        <w:outlineLvl w:val="0"/>
        <w:rPr>
          <w:rFonts w:eastAsia="Times New Roman"/>
          <w:b/>
          <w:bCs/>
          <w:lang w:eastAsia="hu-HU"/>
        </w:rPr>
      </w:pPr>
      <w:r w:rsidRPr="00D264FD">
        <w:rPr>
          <w:rFonts w:eastAsia="Times New Roman"/>
          <w:b/>
          <w:bCs/>
          <w:lang w:eastAsia="hu-HU"/>
        </w:rPr>
        <w:t>az önkormányzat 2024. évi gazdálkodásának végrehajtásáról</w:t>
      </w:r>
    </w:p>
    <w:p w14:paraId="459DE9E9" w14:textId="77777777" w:rsidR="00D264FD" w:rsidRPr="00D264FD" w:rsidRDefault="00D264FD" w:rsidP="00D264FD">
      <w:pPr>
        <w:rPr>
          <w:rFonts w:eastAsia="Times New Roman"/>
          <w:lang w:eastAsia="hu-HU"/>
        </w:rPr>
      </w:pPr>
    </w:p>
    <w:p w14:paraId="562362D0" w14:textId="77777777" w:rsidR="00D264FD" w:rsidRPr="00D264FD" w:rsidRDefault="00D264FD" w:rsidP="00D264FD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D264FD">
        <w:rPr>
          <w:rFonts w:ascii="Calibri" w:eastAsia="Times New Roman" w:hAnsi="Calibri" w:cs="Calibri"/>
          <w:lang w:eastAsia="hu-HU"/>
        </w:rPr>
        <w:t>[1] Szombathely Megyei Jogú Város Önkormányzata 2024. évi eredményeiről, az éves költségvetési rendeletben meghatározott feladatok végrehajtásáról zárszámadás keretében kell számot adni a képviselő-testületnek. A beszámoló szerkezetét, illetve elkészítésének határidejét az államháztartásról szóló 2011. évi CXCV. törvény szabályozza. A szabályozás célja az, hogy az önkormányzat a fenti jogszabályalkotási kötelezettségének eleget tegyen.</w:t>
      </w:r>
    </w:p>
    <w:p w14:paraId="2692B73B" w14:textId="77777777" w:rsidR="00D264FD" w:rsidRPr="00D264FD" w:rsidRDefault="00D264FD" w:rsidP="00D264FD">
      <w:pPr>
        <w:autoSpaceDE w:val="0"/>
        <w:autoSpaceDN w:val="0"/>
        <w:adjustRightInd w:val="0"/>
        <w:spacing w:before="120"/>
        <w:jc w:val="both"/>
        <w:rPr>
          <w:rFonts w:ascii="Calibri" w:eastAsia="Times New Roman" w:hAnsi="Calibri" w:cs="Calibri"/>
          <w:lang w:eastAsia="hu-HU"/>
        </w:rPr>
      </w:pPr>
      <w:r w:rsidRPr="00D264FD">
        <w:rPr>
          <w:rFonts w:ascii="Calibri" w:eastAsia="Times New Roman" w:hAnsi="Calibri" w:cs="Calibri"/>
          <w:lang w:eastAsia="hu-HU"/>
        </w:rPr>
        <w:t>[2] Szombathely Megyei Jogú Város Önkormányzatának Közgyűlése az Alaptörvény 32. cikk (2) bekezdésében meghatározott eredeti jogalkotói hatáskörében, az Alaptörvény 32. cikk (1) bekezdés f) pontjában meghatározott feladatkörében eljárva a következőket rendeli el:</w:t>
      </w:r>
    </w:p>
    <w:p w14:paraId="658C1AF6" w14:textId="77777777" w:rsidR="00D264FD" w:rsidRPr="00D264FD" w:rsidRDefault="00D264FD" w:rsidP="00D264FD">
      <w:pPr>
        <w:autoSpaceDE w:val="0"/>
        <w:autoSpaceDN w:val="0"/>
        <w:adjustRightInd w:val="0"/>
        <w:spacing w:before="240" w:after="240"/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D264FD">
        <w:rPr>
          <w:rFonts w:ascii="Calibri" w:eastAsia="Times New Roman" w:hAnsi="Calibri" w:cs="Calibri"/>
          <w:b/>
          <w:bCs/>
          <w:lang w:eastAsia="hu-HU"/>
        </w:rPr>
        <w:t>1. §</w:t>
      </w:r>
    </w:p>
    <w:p w14:paraId="4AF348FA" w14:textId="77777777" w:rsidR="00D264FD" w:rsidRPr="00D264FD" w:rsidRDefault="00D264FD" w:rsidP="00D264FD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D264FD">
        <w:rPr>
          <w:rFonts w:ascii="Calibri" w:eastAsia="Times New Roman" w:hAnsi="Calibri" w:cs="Calibri"/>
          <w:lang w:eastAsia="hu-HU"/>
        </w:rPr>
        <w:t>A rendelet hatálya a Közgyűlésre és annak szerveire, az önkormányzat költségvetési szerveire terjed ki.</w:t>
      </w:r>
    </w:p>
    <w:p w14:paraId="72437117" w14:textId="77777777" w:rsidR="00D264FD" w:rsidRPr="00D264FD" w:rsidRDefault="00D264FD" w:rsidP="00D264FD">
      <w:pPr>
        <w:autoSpaceDE w:val="0"/>
        <w:autoSpaceDN w:val="0"/>
        <w:adjustRightInd w:val="0"/>
        <w:spacing w:before="280"/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D264FD">
        <w:rPr>
          <w:rFonts w:ascii="Calibri" w:eastAsia="Times New Roman" w:hAnsi="Calibri" w:cs="Calibri"/>
          <w:b/>
          <w:bCs/>
          <w:lang w:eastAsia="hu-HU"/>
        </w:rPr>
        <w:t>1. AZ ÖNKORMÁNYZAT BEVÉTELEI ÉS KIADÁSAI</w:t>
      </w:r>
    </w:p>
    <w:p w14:paraId="20566A21" w14:textId="77777777" w:rsidR="00D264FD" w:rsidRPr="00D264FD" w:rsidRDefault="00D264FD" w:rsidP="00D264FD">
      <w:pPr>
        <w:autoSpaceDE w:val="0"/>
        <w:autoSpaceDN w:val="0"/>
        <w:adjustRightInd w:val="0"/>
        <w:spacing w:before="240" w:after="240"/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D264FD">
        <w:rPr>
          <w:rFonts w:ascii="Calibri" w:eastAsia="Times New Roman" w:hAnsi="Calibri" w:cs="Calibri"/>
          <w:b/>
          <w:bCs/>
          <w:lang w:eastAsia="hu-HU"/>
        </w:rPr>
        <w:t>2. §</w:t>
      </w:r>
    </w:p>
    <w:p w14:paraId="2E3247AF" w14:textId="77777777" w:rsidR="00D264FD" w:rsidRPr="00D264FD" w:rsidRDefault="00D264FD" w:rsidP="00D264FD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D264FD">
        <w:rPr>
          <w:rFonts w:ascii="Calibri" w:eastAsia="Times New Roman" w:hAnsi="Calibri" w:cs="Calibri"/>
          <w:lang w:eastAsia="hu-HU"/>
        </w:rPr>
        <w:t>(1) A Közgyűlés az Önkormányzat 2024. évi költségvetésének tényleges bevételi főösszegét 39.869.772 eFt-ban, kiadási főösszegét 36.653.394 eFt-ban állapítja meg.</w:t>
      </w:r>
    </w:p>
    <w:p w14:paraId="59F4DA4A" w14:textId="77777777" w:rsidR="00D264FD" w:rsidRPr="00D264FD" w:rsidRDefault="00D264FD" w:rsidP="00D264FD">
      <w:pPr>
        <w:autoSpaceDE w:val="0"/>
        <w:autoSpaceDN w:val="0"/>
        <w:adjustRightInd w:val="0"/>
        <w:spacing w:before="240"/>
        <w:jc w:val="both"/>
        <w:rPr>
          <w:rFonts w:ascii="Calibri" w:eastAsia="Times New Roman" w:hAnsi="Calibri" w:cs="Calibri"/>
          <w:lang w:eastAsia="hu-HU"/>
        </w:rPr>
      </w:pPr>
      <w:r w:rsidRPr="00D264FD">
        <w:rPr>
          <w:rFonts w:ascii="Calibri" w:eastAsia="Times New Roman" w:hAnsi="Calibri" w:cs="Calibri"/>
          <w:lang w:eastAsia="hu-HU"/>
        </w:rPr>
        <w:t>(2) A tényleges működési bevételek és kiadások egyenlegét -2.391.996 eFt-ban, a finanszírozási célú kiadásként elszámolt pénzügyi lízing tőke törlesztését -120.750 eFt-ban az előző évek működési maradványának igénybevételét +5.576.667 eFt-ban határozza meg. Az így számított működési egyenleg +3.063.921 eFt.</w:t>
      </w:r>
    </w:p>
    <w:p w14:paraId="2167414B" w14:textId="77777777" w:rsidR="00D264FD" w:rsidRPr="00D264FD" w:rsidRDefault="00D264FD" w:rsidP="00D264FD">
      <w:pPr>
        <w:autoSpaceDE w:val="0"/>
        <w:autoSpaceDN w:val="0"/>
        <w:adjustRightInd w:val="0"/>
        <w:spacing w:before="240"/>
        <w:jc w:val="both"/>
        <w:rPr>
          <w:rFonts w:ascii="Calibri" w:eastAsia="Times New Roman" w:hAnsi="Calibri" w:cs="Calibri"/>
          <w:lang w:eastAsia="hu-HU"/>
        </w:rPr>
      </w:pPr>
      <w:r w:rsidRPr="00D264FD">
        <w:rPr>
          <w:rFonts w:ascii="Calibri" w:eastAsia="Times New Roman" w:hAnsi="Calibri" w:cs="Calibri"/>
          <w:lang w:eastAsia="hu-HU"/>
        </w:rPr>
        <w:t>(3) A tényleges felhalmozási célú bevételek és kiadások egyenlegét – 1.838.257 eFt-ban, az ezt finanszírozó előző évek maradványának igénybevételét + 1.966.978 eFt-ban határozza meg. Az így számított felhalmozási egyenleg +128.721 eFt.</w:t>
      </w:r>
    </w:p>
    <w:p w14:paraId="1140B01E" w14:textId="77777777" w:rsidR="00D264FD" w:rsidRPr="00D264FD" w:rsidRDefault="00D264FD" w:rsidP="00D264FD">
      <w:pPr>
        <w:autoSpaceDE w:val="0"/>
        <w:autoSpaceDN w:val="0"/>
        <w:adjustRightInd w:val="0"/>
        <w:spacing w:before="240"/>
        <w:jc w:val="both"/>
        <w:rPr>
          <w:rFonts w:ascii="Calibri" w:eastAsia="Times New Roman" w:hAnsi="Calibri" w:cs="Calibri"/>
          <w:lang w:eastAsia="hu-HU"/>
        </w:rPr>
      </w:pPr>
      <w:r w:rsidRPr="00D264FD">
        <w:rPr>
          <w:rFonts w:ascii="Calibri" w:eastAsia="Times New Roman" w:hAnsi="Calibri" w:cs="Calibri"/>
          <w:lang w:eastAsia="hu-HU"/>
        </w:rPr>
        <w:t>(4) A finanszírozási célú tényleges bevételeket 281.004 eFt-ban határozza meg.</w:t>
      </w:r>
    </w:p>
    <w:p w14:paraId="79B12884" w14:textId="77777777" w:rsidR="00D264FD" w:rsidRPr="00D264FD" w:rsidRDefault="00D264FD" w:rsidP="00D264FD">
      <w:pPr>
        <w:autoSpaceDE w:val="0"/>
        <w:autoSpaceDN w:val="0"/>
        <w:adjustRightInd w:val="0"/>
        <w:spacing w:before="240"/>
        <w:jc w:val="both"/>
        <w:rPr>
          <w:rFonts w:ascii="Calibri" w:eastAsia="Times New Roman" w:hAnsi="Calibri" w:cs="Calibri"/>
          <w:lang w:eastAsia="hu-HU"/>
        </w:rPr>
      </w:pPr>
      <w:r w:rsidRPr="00D264FD">
        <w:rPr>
          <w:rFonts w:ascii="Calibri" w:eastAsia="Times New Roman" w:hAnsi="Calibri" w:cs="Calibri"/>
          <w:lang w:eastAsia="hu-HU"/>
        </w:rPr>
        <w:t>(5) A finanszírozási célú tényleges kiadásokat 262.184 eFt-ban határozza meg.</w:t>
      </w:r>
    </w:p>
    <w:p w14:paraId="1C6C43F2" w14:textId="77777777" w:rsidR="00D264FD" w:rsidRPr="00D264FD" w:rsidRDefault="00D264FD" w:rsidP="00D264FD">
      <w:pPr>
        <w:autoSpaceDE w:val="0"/>
        <w:autoSpaceDN w:val="0"/>
        <w:adjustRightInd w:val="0"/>
        <w:spacing w:before="240"/>
        <w:jc w:val="both"/>
        <w:rPr>
          <w:rFonts w:ascii="Calibri" w:eastAsia="Times New Roman" w:hAnsi="Calibri" w:cs="Calibri"/>
          <w:lang w:eastAsia="hu-HU"/>
        </w:rPr>
      </w:pPr>
      <w:r w:rsidRPr="00D264FD">
        <w:rPr>
          <w:rFonts w:ascii="Calibri" w:eastAsia="Times New Roman" w:hAnsi="Calibri" w:cs="Calibri"/>
          <w:lang w:eastAsia="hu-HU"/>
        </w:rPr>
        <w:t>(6) A külső finanszírozási célú tényleges bevételeket 0 eFt-ban határozza meg.</w:t>
      </w:r>
    </w:p>
    <w:p w14:paraId="0077554A" w14:textId="77777777" w:rsidR="00D264FD" w:rsidRPr="00D264FD" w:rsidRDefault="00D264FD" w:rsidP="00D264FD">
      <w:pPr>
        <w:autoSpaceDE w:val="0"/>
        <w:autoSpaceDN w:val="0"/>
        <w:adjustRightInd w:val="0"/>
        <w:spacing w:before="240" w:after="240"/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D264FD">
        <w:rPr>
          <w:rFonts w:ascii="Calibri" w:eastAsia="Times New Roman" w:hAnsi="Calibri" w:cs="Calibri"/>
          <w:b/>
          <w:bCs/>
          <w:lang w:eastAsia="hu-HU"/>
        </w:rPr>
        <w:t>3. §</w:t>
      </w:r>
    </w:p>
    <w:p w14:paraId="7D0F9819" w14:textId="77777777" w:rsidR="00D264FD" w:rsidRPr="00D264FD" w:rsidRDefault="00D264FD" w:rsidP="00D264FD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D264FD">
        <w:rPr>
          <w:rFonts w:ascii="Calibri" w:eastAsia="Times New Roman" w:hAnsi="Calibri" w:cs="Calibri"/>
          <w:lang w:eastAsia="hu-HU"/>
        </w:rPr>
        <w:t>(1) A költségvetés kiemelt előirányzatainak teljesítését az 1. melléklet, az összevont mérleg adatokat a 2. melléklet, a pénzeszközök változását a 19. melléklet tartalmazza.</w:t>
      </w:r>
    </w:p>
    <w:p w14:paraId="5A4AFB55" w14:textId="77777777" w:rsidR="00D264FD" w:rsidRPr="00D264FD" w:rsidRDefault="00D264FD" w:rsidP="00D264FD">
      <w:pPr>
        <w:autoSpaceDE w:val="0"/>
        <w:autoSpaceDN w:val="0"/>
        <w:adjustRightInd w:val="0"/>
        <w:spacing w:before="240"/>
        <w:jc w:val="both"/>
        <w:rPr>
          <w:rFonts w:ascii="Calibri" w:eastAsia="Times New Roman" w:hAnsi="Calibri" w:cs="Calibri"/>
          <w:lang w:eastAsia="hu-HU"/>
        </w:rPr>
      </w:pPr>
      <w:r w:rsidRPr="00D264FD">
        <w:rPr>
          <w:rFonts w:ascii="Calibri" w:eastAsia="Times New Roman" w:hAnsi="Calibri" w:cs="Calibri"/>
          <w:lang w:eastAsia="hu-HU"/>
        </w:rPr>
        <w:t>(2) A 2. § (1) bekezdésében meghatározott tényleges bevételi főösszeg forrásait és azok összegét a 3., 5. és a 17. melléklet tartalmazza.</w:t>
      </w:r>
    </w:p>
    <w:p w14:paraId="0998C1D3" w14:textId="77777777" w:rsidR="00D264FD" w:rsidRPr="00D264FD" w:rsidRDefault="00D264FD" w:rsidP="00D264FD">
      <w:pPr>
        <w:autoSpaceDE w:val="0"/>
        <w:autoSpaceDN w:val="0"/>
        <w:adjustRightInd w:val="0"/>
        <w:spacing w:before="240"/>
        <w:jc w:val="both"/>
        <w:rPr>
          <w:rFonts w:ascii="Calibri" w:eastAsia="Times New Roman" w:hAnsi="Calibri" w:cs="Calibri"/>
          <w:lang w:eastAsia="hu-HU"/>
        </w:rPr>
      </w:pPr>
      <w:r w:rsidRPr="00D264FD">
        <w:rPr>
          <w:rFonts w:ascii="Calibri" w:eastAsia="Times New Roman" w:hAnsi="Calibri" w:cs="Calibri"/>
          <w:lang w:eastAsia="hu-HU"/>
        </w:rPr>
        <w:t>(3) A költségvetési szervek bevételeit a 4. melléklet tartalmazza.</w:t>
      </w:r>
    </w:p>
    <w:p w14:paraId="44507C3E" w14:textId="77777777" w:rsidR="00D264FD" w:rsidRPr="00D264FD" w:rsidRDefault="00D264FD" w:rsidP="00D264FD">
      <w:pPr>
        <w:autoSpaceDE w:val="0"/>
        <w:autoSpaceDN w:val="0"/>
        <w:adjustRightInd w:val="0"/>
        <w:spacing w:before="240" w:after="240"/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D264FD">
        <w:rPr>
          <w:rFonts w:ascii="Calibri" w:eastAsia="Times New Roman" w:hAnsi="Calibri" w:cs="Calibri"/>
          <w:b/>
          <w:bCs/>
          <w:lang w:eastAsia="hu-HU"/>
        </w:rPr>
        <w:t>4. §</w:t>
      </w:r>
    </w:p>
    <w:p w14:paraId="5EBB2007" w14:textId="77777777" w:rsidR="00D264FD" w:rsidRPr="00D264FD" w:rsidRDefault="00D264FD" w:rsidP="00D264FD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D264FD">
        <w:rPr>
          <w:rFonts w:ascii="Calibri" w:eastAsia="Times New Roman" w:hAnsi="Calibri" w:cs="Calibri"/>
          <w:lang w:eastAsia="hu-HU"/>
        </w:rPr>
        <w:t>A Közgyűlés a költségvetési szervek kiadásait 15.779.097 eFt-ban határozza meg a 6. mellékletben részletezettek szerint.</w:t>
      </w:r>
    </w:p>
    <w:p w14:paraId="4BC88DA6" w14:textId="77777777" w:rsidR="00D264FD" w:rsidRPr="00D264FD" w:rsidRDefault="00D264FD" w:rsidP="00D264FD">
      <w:pPr>
        <w:autoSpaceDE w:val="0"/>
        <w:autoSpaceDN w:val="0"/>
        <w:adjustRightInd w:val="0"/>
        <w:spacing w:before="240" w:after="240"/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D264FD">
        <w:rPr>
          <w:rFonts w:ascii="Calibri" w:eastAsia="Times New Roman" w:hAnsi="Calibri" w:cs="Calibri"/>
          <w:b/>
          <w:bCs/>
          <w:lang w:eastAsia="hu-HU"/>
        </w:rPr>
        <w:t>5. §</w:t>
      </w:r>
    </w:p>
    <w:p w14:paraId="67EF02BA" w14:textId="77777777" w:rsidR="00D264FD" w:rsidRPr="00D264FD" w:rsidRDefault="00D264FD" w:rsidP="00D264FD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D264FD">
        <w:rPr>
          <w:rFonts w:ascii="Calibri" w:eastAsia="Times New Roman" w:hAnsi="Calibri" w:cs="Calibri"/>
          <w:lang w:eastAsia="hu-HU"/>
        </w:rPr>
        <w:t>A Közgyűlés a költségvetési szervek – kiemelt előirányzatként kezelt – 2024.évi engedélyezett záró létszámkeretét 1.471 főben határozza meg a 7. mellékletben részletezettek szerint.</w:t>
      </w:r>
    </w:p>
    <w:p w14:paraId="57488936" w14:textId="77777777" w:rsidR="00D264FD" w:rsidRPr="00D264FD" w:rsidRDefault="00D264FD" w:rsidP="00D264FD">
      <w:pPr>
        <w:autoSpaceDE w:val="0"/>
        <w:autoSpaceDN w:val="0"/>
        <w:adjustRightInd w:val="0"/>
        <w:spacing w:before="240" w:after="240"/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D264FD">
        <w:rPr>
          <w:rFonts w:ascii="Calibri" w:eastAsia="Times New Roman" w:hAnsi="Calibri" w:cs="Calibri"/>
          <w:b/>
          <w:bCs/>
          <w:lang w:eastAsia="hu-HU"/>
        </w:rPr>
        <w:t>6. §</w:t>
      </w:r>
    </w:p>
    <w:p w14:paraId="14C4CF2F" w14:textId="77777777" w:rsidR="00D264FD" w:rsidRPr="00D264FD" w:rsidRDefault="00D264FD" w:rsidP="00D264FD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D264FD">
        <w:rPr>
          <w:rFonts w:ascii="Calibri" w:eastAsia="Times New Roman" w:hAnsi="Calibri" w:cs="Calibri"/>
          <w:lang w:eastAsia="hu-HU"/>
        </w:rPr>
        <w:lastRenderedPageBreak/>
        <w:t>Az ágazatonként meghatározott célok elkülönített kiadásainak felhasználását a 8-16. melléklet tartalmazza. A segély kifizetésekről és a lakásalap bevételeiről és kiadásairól a 25-26. melléklet tájékoztató adatokat tartalmaz.</w:t>
      </w:r>
    </w:p>
    <w:p w14:paraId="5D4D0D7F" w14:textId="77777777" w:rsidR="00D264FD" w:rsidRPr="00D264FD" w:rsidRDefault="00D264FD" w:rsidP="00D264FD">
      <w:pPr>
        <w:autoSpaceDE w:val="0"/>
        <w:autoSpaceDN w:val="0"/>
        <w:adjustRightInd w:val="0"/>
        <w:spacing w:before="240" w:after="240"/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D264FD">
        <w:rPr>
          <w:rFonts w:ascii="Calibri" w:eastAsia="Times New Roman" w:hAnsi="Calibri" w:cs="Calibri"/>
          <w:b/>
          <w:bCs/>
          <w:lang w:eastAsia="hu-HU"/>
        </w:rPr>
        <w:t>7. §</w:t>
      </w:r>
    </w:p>
    <w:p w14:paraId="700BAFA7" w14:textId="77777777" w:rsidR="00D264FD" w:rsidRPr="00D264FD" w:rsidRDefault="00D264FD" w:rsidP="00D264FD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D264FD">
        <w:rPr>
          <w:rFonts w:ascii="Calibri" w:eastAsia="Times New Roman" w:hAnsi="Calibri" w:cs="Calibri"/>
          <w:lang w:eastAsia="hu-HU"/>
        </w:rPr>
        <w:t>Az önkormányzat a felhalmozási kiadások előirányzatainak teljesítését 2.393.435 eFt-ban határozza meg, amelynek célonkénti részletes adatait a 18. melléklet tartalmazza.</w:t>
      </w:r>
    </w:p>
    <w:p w14:paraId="0B5E96CD" w14:textId="77777777" w:rsidR="00D264FD" w:rsidRPr="00D264FD" w:rsidRDefault="00D264FD" w:rsidP="00D264FD">
      <w:pPr>
        <w:autoSpaceDE w:val="0"/>
        <w:autoSpaceDN w:val="0"/>
        <w:adjustRightInd w:val="0"/>
        <w:spacing w:before="240" w:after="240"/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D264FD">
        <w:rPr>
          <w:rFonts w:ascii="Calibri" w:eastAsia="Times New Roman" w:hAnsi="Calibri" w:cs="Calibri"/>
          <w:b/>
          <w:bCs/>
          <w:lang w:eastAsia="hu-HU"/>
        </w:rPr>
        <w:t>8. §</w:t>
      </w:r>
    </w:p>
    <w:p w14:paraId="46CBF723" w14:textId="77777777" w:rsidR="00D264FD" w:rsidRPr="00D264FD" w:rsidRDefault="00D264FD" w:rsidP="00D264FD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D264FD">
        <w:rPr>
          <w:rFonts w:ascii="Calibri" w:eastAsia="Times New Roman" w:hAnsi="Calibri" w:cs="Calibri"/>
          <w:lang w:eastAsia="hu-HU"/>
        </w:rPr>
        <w:t>A 2024. évi közvetett támogatásokról szóló tájékoztatót a 20. melléklet, az Európai Uniós támogatással megvalósuló projektek bevételi és kiadási előirányzatainak teljesítését a 21. melléklet, a többéves kihatással járó döntések számszerűsítését a 22. melléklet, a kimutatást a pénzügyi lízingből eredő fizetési kötelezettség állományról a 30. melléklet tartalmazza.</w:t>
      </w:r>
    </w:p>
    <w:p w14:paraId="19D4CA31" w14:textId="77777777" w:rsidR="00D264FD" w:rsidRPr="00D264FD" w:rsidRDefault="00D264FD" w:rsidP="00D264FD">
      <w:pPr>
        <w:autoSpaceDE w:val="0"/>
        <w:autoSpaceDN w:val="0"/>
        <w:adjustRightInd w:val="0"/>
        <w:spacing w:before="280"/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D264FD">
        <w:rPr>
          <w:rFonts w:ascii="Calibri" w:eastAsia="Times New Roman" w:hAnsi="Calibri" w:cs="Calibri"/>
          <w:b/>
          <w:bCs/>
          <w:lang w:eastAsia="hu-HU"/>
        </w:rPr>
        <w:t>2. VAGYONMÉRLEG</w:t>
      </w:r>
    </w:p>
    <w:p w14:paraId="135D706D" w14:textId="77777777" w:rsidR="00D264FD" w:rsidRPr="00D264FD" w:rsidRDefault="00D264FD" w:rsidP="00D264FD">
      <w:pPr>
        <w:autoSpaceDE w:val="0"/>
        <w:autoSpaceDN w:val="0"/>
        <w:adjustRightInd w:val="0"/>
        <w:spacing w:before="240" w:after="240"/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D264FD">
        <w:rPr>
          <w:rFonts w:ascii="Calibri" w:eastAsia="Times New Roman" w:hAnsi="Calibri" w:cs="Calibri"/>
          <w:b/>
          <w:bCs/>
          <w:lang w:eastAsia="hu-HU"/>
        </w:rPr>
        <w:t>9. §</w:t>
      </w:r>
    </w:p>
    <w:p w14:paraId="02AEC90A" w14:textId="77777777" w:rsidR="00D264FD" w:rsidRPr="00D264FD" w:rsidRDefault="00D264FD" w:rsidP="00D264FD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D264FD">
        <w:rPr>
          <w:rFonts w:ascii="Calibri" w:eastAsia="Times New Roman" w:hAnsi="Calibri" w:cs="Calibri"/>
          <w:lang w:eastAsia="hu-HU"/>
        </w:rPr>
        <w:t>A vagyonmérleg adatainak részletezését a 23-24. melléklet, az önkormányzat vagyonkimutatását a 27-28. melléklet, a részesedések állományát a 29. melléklet tartalmazza.</w:t>
      </w:r>
    </w:p>
    <w:p w14:paraId="06632408" w14:textId="77777777" w:rsidR="00D264FD" w:rsidRPr="00D264FD" w:rsidRDefault="00D264FD" w:rsidP="00D264FD">
      <w:pPr>
        <w:autoSpaceDE w:val="0"/>
        <w:autoSpaceDN w:val="0"/>
        <w:adjustRightInd w:val="0"/>
        <w:spacing w:before="280"/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D264FD">
        <w:rPr>
          <w:rFonts w:ascii="Calibri" w:eastAsia="Times New Roman" w:hAnsi="Calibri" w:cs="Calibri"/>
          <w:b/>
          <w:bCs/>
          <w:lang w:eastAsia="hu-HU"/>
        </w:rPr>
        <w:t>3. ZÁRÓ RENDELKEZÉSEK</w:t>
      </w:r>
    </w:p>
    <w:p w14:paraId="2469FE82" w14:textId="77777777" w:rsidR="00D264FD" w:rsidRPr="00D264FD" w:rsidRDefault="00D264FD" w:rsidP="00D264FD">
      <w:pPr>
        <w:autoSpaceDE w:val="0"/>
        <w:autoSpaceDN w:val="0"/>
        <w:adjustRightInd w:val="0"/>
        <w:spacing w:before="240" w:after="240"/>
        <w:jc w:val="center"/>
        <w:rPr>
          <w:rFonts w:ascii="Calibri" w:eastAsia="Times New Roman" w:hAnsi="Calibri" w:cs="Calibri"/>
          <w:b/>
          <w:bCs/>
          <w:lang w:eastAsia="hu-HU"/>
        </w:rPr>
      </w:pPr>
      <w:r w:rsidRPr="00D264FD">
        <w:rPr>
          <w:rFonts w:ascii="Calibri" w:eastAsia="Times New Roman" w:hAnsi="Calibri" w:cs="Calibri"/>
          <w:b/>
          <w:bCs/>
          <w:lang w:eastAsia="hu-HU"/>
        </w:rPr>
        <w:t>10. §</w:t>
      </w:r>
    </w:p>
    <w:p w14:paraId="11558328" w14:textId="77777777" w:rsidR="00D264FD" w:rsidRPr="00D264FD" w:rsidRDefault="00D264FD" w:rsidP="00D264FD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D264FD">
        <w:rPr>
          <w:rFonts w:ascii="Calibri" w:eastAsia="Times New Roman" w:hAnsi="Calibri" w:cs="Calibri"/>
          <w:lang w:eastAsia="hu-HU"/>
        </w:rPr>
        <w:t>Ez a rendelet a kihirdetését követő napon lép hatályba.</w:t>
      </w:r>
    </w:p>
    <w:p w14:paraId="18955A21" w14:textId="77777777" w:rsidR="00D264FD" w:rsidRPr="00D264FD" w:rsidRDefault="00D264FD" w:rsidP="00D264FD">
      <w:pPr>
        <w:jc w:val="both"/>
        <w:rPr>
          <w:rFonts w:eastAsia="Times New Roman"/>
          <w:lang w:eastAsia="hu-HU"/>
        </w:rPr>
      </w:pPr>
    </w:p>
    <w:p w14:paraId="34AF75D9" w14:textId="77777777" w:rsidR="00D264FD" w:rsidRPr="00D264FD" w:rsidRDefault="00D264FD" w:rsidP="00D264FD">
      <w:pPr>
        <w:jc w:val="both"/>
        <w:rPr>
          <w:rFonts w:eastAsia="Times New Roman"/>
          <w:lang w:eastAsia="hu-HU"/>
        </w:rPr>
      </w:pPr>
    </w:p>
    <w:p w14:paraId="4A48DD76" w14:textId="77777777" w:rsidR="00D264FD" w:rsidRPr="00D264FD" w:rsidRDefault="00D264FD" w:rsidP="00D264FD">
      <w:pPr>
        <w:jc w:val="both"/>
        <w:rPr>
          <w:rFonts w:eastAsia="Times New Roman"/>
          <w:lang w:eastAsia="hu-HU"/>
        </w:rPr>
      </w:pPr>
    </w:p>
    <w:p w14:paraId="6864CEF8" w14:textId="77777777" w:rsidR="00D264FD" w:rsidRPr="00D264FD" w:rsidRDefault="00D264FD" w:rsidP="00D264FD">
      <w:pPr>
        <w:jc w:val="both"/>
        <w:rPr>
          <w:rFonts w:eastAsia="Times New Roman"/>
          <w:lang w:eastAsia="hu-HU"/>
        </w:rPr>
      </w:pPr>
    </w:p>
    <w:p w14:paraId="7E64F32E" w14:textId="77777777" w:rsidR="00D264FD" w:rsidRPr="00D264FD" w:rsidRDefault="00D264FD" w:rsidP="00D264FD">
      <w:pPr>
        <w:jc w:val="both"/>
        <w:rPr>
          <w:rFonts w:eastAsia="Times New Roman"/>
          <w:lang w:eastAsia="hu-HU"/>
        </w:rPr>
      </w:pPr>
    </w:p>
    <w:p w14:paraId="01D22BEB" w14:textId="77777777" w:rsidR="00D264FD" w:rsidRPr="00D264FD" w:rsidRDefault="00D264FD" w:rsidP="00D264FD">
      <w:pPr>
        <w:jc w:val="both"/>
        <w:rPr>
          <w:rFonts w:eastAsia="Times New Roman"/>
          <w:lang w:eastAsia="hu-HU"/>
        </w:rPr>
      </w:pPr>
    </w:p>
    <w:p w14:paraId="76EB81C0" w14:textId="77777777" w:rsidR="00D264FD" w:rsidRPr="00D264FD" w:rsidRDefault="00D264FD" w:rsidP="00D264FD">
      <w:pPr>
        <w:jc w:val="both"/>
        <w:rPr>
          <w:rFonts w:eastAsia="Times New Roman"/>
          <w:lang w:eastAsia="hu-HU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D264FD" w:rsidRPr="00D264FD" w14:paraId="1596F71C" w14:textId="77777777" w:rsidTr="00093416">
        <w:tc>
          <w:tcPr>
            <w:tcW w:w="4818" w:type="dxa"/>
          </w:tcPr>
          <w:p w14:paraId="43DDA979" w14:textId="77777777" w:rsidR="00D264FD" w:rsidRPr="00D264FD" w:rsidRDefault="00D264FD" w:rsidP="00D26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eastAsia="hu-HU"/>
              </w:rPr>
            </w:pPr>
            <w:r w:rsidRPr="00D264FD">
              <w:rPr>
                <w:rFonts w:eastAsia="Times New Roman"/>
                <w:b/>
                <w:bCs/>
                <w:lang w:eastAsia="hu-HU"/>
              </w:rPr>
              <w:t>/: Dr. Nemény András :/</w:t>
            </w:r>
            <w:r w:rsidRPr="00D264FD">
              <w:rPr>
                <w:rFonts w:eastAsia="Times New Roman"/>
                <w:b/>
                <w:bCs/>
                <w:lang w:eastAsia="hu-HU"/>
              </w:rPr>
              <w:br/>
              <w:t>polgármester</w:t>
            </w:r>
          </w:p>
        </w:tc>
        <w:tc>
          <w:tcPr>
            <w:tcW w:w="4820" w:type="dxa"/>
          </w:tcPr>
          <w:p w14:paraId="29BB6824" w14:textId="77777777" w:rsidR="00D264FD" w:rsidRPr="00D264FD" w:rsidRDefault="00D264FD" w:rsidP="00D264F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lang w:eastAsia="hu-HU"/>
              </w:rPr>
            </w:pPr>
            <w:r w:rsidRPr="00D264FD">
              <w:rPr>
                <w:rFonts w:eastAsia="Times New Roman"/>
                <w:b/>
                <w:bCs/>
                <w:lang w:eastAsia="hu-HU"/>
              </w:rPr>
              <w:t>/: Dr. Károlyi Ákos :/</w:t>
            </w:r>
            <w:r w:rsidRPr="00D264FD">
              <w:rPr>
                <w:rFonts w:eastAsia="Times New Roman"/>
                <w:b/>
                <w:bCs/>
                <w:lang w:eastAsia="hu-HU"/>
              </w:rPr>
              <w:br/>
              <w:t>jegyző</w:t>
            </w:r>
          </w:p>
        </w:tc>
      </w:tr>
    </w:tbl>
    <w:p w14:paraId="0DCFBCCB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4FD"/>
    <w:rsid w:val="00D264FD"/>
    <w:rsid w:val="00E46A00"/>
    <w:rsid w:val="00F619A1"/>
    <w:rsid w:val="00FA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568DB"/>
  <w15:chartTrackingRefBased/>
  <w15:docId w15:val="{AB98BBE5-2F0A-42BB-BA89-15BD43BA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26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26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264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26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264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264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264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264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264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26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26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264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264F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264F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264F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264F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264F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264F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264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26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264F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26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264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264F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264F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264F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26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264F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26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Wittinger Mónika</dc:creator>
  <cp:keywords/>
  <dc:description/>
  <cp:lastModifiedBy>Wittinger Mónika</cp:lastModifiedBy>
  <cp:revision>1</cp:revision>
  <dcterms:created xsi:type="dcterms:W3CDTF">2025-05-16T07:28:00Z</dcterms:created>
  <dcterms:modified xsi:type="dcterms:W3CDTF">2025-05-16T07:29:00Z</dcterms:modified>
</cp:coreProperties>
</file>