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503AD" w14:textId="2136481C" w:rsidR="00DB5C80" w:rsidRDefault="005F3B16" w:rsidP="00DB5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iktsz.:</w:t>
      </w:r>
      <w:r w:rsidR="00402E1B">
        <w:rPr>
          <w:rFonts w:asciiTheme="minorHAnsi" w:hAnsiTheme="minorHAnsi" w:cstheme="minorHAnsi"/>
          <w:sz w:val="22"/>
          <w:szCs w:val="22"/>
        </w:rPr>
        <w:t xml:space="preserve"> 21.776-1/2025.</w:t>
      </w:r>
      <w:r w:rsidR="00402E1B">
        <w:rPr>
          <w:rFonts w:asciiTheme="minorHAnsi" w:hAnsiTheme="minorHAnsi" w:cstheme="minorHAnsi"/>
          <w:sz w:val="22"/>
          <w:szCs w:val="22"/>
        </w:rPr>
        <w:tab/>
      </w:r>
      <w:r w:rsidR="00402E1B">
        <w:rPr>
          <w:rFonts w:asciiTheme="minorHAnsi" w:hAnsiTheme="minorHAnsi" w:cstheme="minorHAnsi"/>
          <w:sz w:val="22"/>
          <w:szCs w:val="22"/>
        </w:rPr>
        <w:tab/>
      </w:r>
      <w:r w:rsidR="00402E1B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402E1B">
        <w:rPr>
          <w:rFonts w:asciiTheme="minorHAnsi" w:hAnsiTheme="minorHAnsi" w:cstheme="minorHAnsi"/>
          <w:sz w:val="22"/>
          <w:szCs w:val="22"/>
        </w:rPr>
        <w:tab/>
      </w:r>
      <w:r w:rsidR="00402E1B">
        <w:rPr>
          <w:rFonts w:asciiTheme="minorHAnsi" w:hAnsiTheme="minorHAnsi" w:cstheme="minorHAnsi"/>
          <w:sz w:val="22"/>
          <w:szCs w:val="22"/>
        </w:rPr>
        <w:tab/>
      </w:r>
      <w:r w:rsidR="00402E1B">
        <w:rPr>
          <w:rFonts w:asciiTheme="minorHAnsi" w:hAnsiTheme="minorHAnsi" w:cstheme="minorHAnsi"/>
          <w:sz w:val="22"/>
          <w:szCs w:val="22"/>
        </w:rPr>
        <w:tab/>
      </w:r>
      <w:r w:rsidR="00402E1B">
        <w:rPr>
          <w:rFonts w:asciiTheme="minorHAnsi" w:hAnsiTheme="minorHAnsi" w:cstheme="minorHAnsi"/>
          <w:sz w:val="22"/>
          <w:szCs w:val="22"/>
        </w:rPr>
        <w:tab/>
      </w:r>
      <w:r w:rsidR="00402E1B">
        <w:rPr>
          <w:rFonts w:asciiTheme="minorHAnsi" w:hAnsiTheme="minorHAnsi" w:cstheme="minorHAnsi"/>
          <w:sz w:val="22"/>
          <w:szCs w:val="22"/>
        </w:rPr>
        <w:tab/>
        <w:t>Tárgy: állásfoglalás kérése</w:t>
      </w:r>
    </w:p>
    <w:p w14:paraId="639249E7" w14:textId="77777777" w:rsidR="005B1F7D" w:rsidRDefault="005B1F7D" w:rsidP="00241175">
      <w:pPr>
        <w:rPr>
          <w:rFonts w:asciiTheme="minorHAnsi" w:hAnsiTheme="minorHAnsi" w:cstheme="minorHAnsi"/>
          <w:sz w:val="22"/>
          <w:szCs w:val="22"/>
        </w:rPr>
      </w:pPr>
    </w:p>
    <w:p w14:paraId="5CC97AED" w14:textId="1DCB27B2" w:rsidR="00F062C3" w:rsidRDefault="00AC7C2A" w:rsidP="00241175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402E1B" w:rsidRPr="00AA21C0">
          <w:rPr>
            <w:rStyle w:val="Hiperhivatkozs"/>
            <w:rFonts w:asciiTheme="minorHAnsi" w:hAnsiTheme="minorHAnsi" w:cstheme="minorHAnsi"/>
            <w:sz w:val="22"/>
            <w:szCs w:val="22"/>
          </w:rPr>
          <w:t>utcajogasz@gmail.com</w:t>
        </w:r>
      </w:hyperlink>
    </w:p>
    <w:p w14:paraId="61C70F7F" w14:textId="77777777" w:rsidR="00402E1B" w:rsidRDefault="00402E1B" w:rsidP="00241175">
      <w:pPr>
        <w:rPr>
          <w:rFonts w:asciiTheme="minorHAnsi" w:hAnsiTheme="minorHAnsi" w:cstheme="minorHAnsi"/>
          <w:sz w:val="22"/>
          <w:szCs w:val="22"/>
        </w:rPr>
      </w:pPr>
    </w:p>
    <w:p w14:paraId="2BE68F3F" w14:textId="46ABAF76" w:rsidR="005B1F7D" w:rsidRPr="005B1F7D" w:rsidRDefault="005B1F7D" w:rsidP="005B1F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1F7D">
        <w:rPr>
          <w:rFonts w:asciiTheme="minorHAnsi" w:hAnsiTheme="minorHAnsi" w:cstheme="minorHAnsi"/>
          <w:b/>
          <w:bCs/>
          <w:sz w:val="22"/>
          <w:szCs w:val="22"/>
        </w:rPr>
        <w:t xml:space="preserve">Tisztelt </w:t>
      </w:r>
      <w:r w:rsidR="00F062C3">
        <w:rPr>
          <w:rFonts w:asciiTheme="minorHAnsi" w:hAnsiTheme="minorHAnsi" w:cstheme="minorHAnsi"/>
          <w:b/>
          <w:bCs/>
          <w:sz w:val="22"/>
          <w:szCs w:val="22"/>
        </w:rPr>
        <w:t>Cím</w:t>
      </w:r>
      <w:r w:rsidRPr="005B1F7D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14:paraId="1D75CCAF" w14:textId="77777777" w:rsidR="005B1F7D" w:rsidRDefault="005B1F7D" w:rsidP="00241175">
      <w:pPr>
        <w:rPr>
          <w:rFonts w:asciiTheme="minorHAnsi" w:hAnsiTheme="minorHAnsi" w:cstheme="minorHAnsi"/>
          <w:sz w:val="22"/>
          <w:szCs w:val="22"/>
        </w:rPr>
      </w:pPr>
    </w:p>
    <w:p w14:paraId="53C22BCF" w14:textId="77777777" w:rsidR="00402E1B" w:rsidRDefault="00402E1B" w:rsidP="00241175">
      <w:pPr>
        <w:rPr>
          <w:rFonts w:asciiTheme="minorHAnsi" w:hAnsiTheme="minorHAnsi" w:cstheme="minorHAnsi"/>
          <w:sz w:val="22"/>
          <w:szCs w:val="22"/>
        </w:rPr>
      </w:pPr>
    </w:p>
    <w:p w14:paraId="093E01DF" w14:textId="012E46FF" w:rsidR="00241175" w:rsidRDefault="00241175" w:rsidP="002411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alábbi absztrakt tényállás tükrében kérem szíves szakmai véleményüket a lentiekben részletesen bemutatásra kerülő jogértelmezés </w:t>
      </w:r>
      <w:r w:rsidR="0026288E">
        <w:rPr>
          <w:rFonts w:asciiTheme="minorHAnsi" w:hAnsiTheme="minorHAnsi" w:cstheme="minorHAnsi"/>
          <w:sz w:val="22"/>
          <w:szCs w:val="22"/>
        </w:rPr>
        <w:t xml:space="preserve">és joggyakorlat </w:t>
      </w:r>
      <w:r>
        <w:rPr>
          <w:rFonts w:asciiTheme="minorHAnsi" w:hAnsiTheme="minorHAnsi" w:cstheme="minorHAnsi"/>
          <w:sz w:val="22"/>
          <w:szCs w:val="22"/>
        </w:rPr>
        <w:t>tekintetében.</w:t>
      </w:r>
    </w:p>
    <w:p w14:paraId="030D1FDA" w14:textId="77777777" w:rsidR="00241175" w:rsidRDefault="00241175" w:rsidP="002411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418416" w14:textId="25EF19E0" w:rsidR="00241175" w:rsidRDefault="00241175" w:rsidP="00241175">
      <w:pPr>
        <w:jc w:val="both"/>
        <w:rPr>
          <w:rFonts w:asciiTheme="minorHAnsi" w:hAnsiTheme="minorHAnsi" w:cstheme="minorHAnsi"/>
          <w:sz w:val="22"/>
          <w:szCs w:val="22"/>
        </w:rPr>
      </w:pPr>
      <w:r w:rsidRPr="001B256B">
        <w:rPr>
          <w:rFonts w:asciiTheme="minorHAnsi" w:hAnsiTheme="minorHAnsi" w:cstheme="minorHAnsi"/>
          <w:b/>
          <w:bCs/>
          <w:sz w:val="22"/>
          <w:szCs w:val="22"/>
        </w:rPr>
        <w:t>Tényállás:</w:t>
      </w:r>
      <w:r>
        <w:rPr>
          <w:rFonts w:asciiTheme="minorHAnsi" w:hAnsiTheme="minorHAnsi" w:cstheme="minorHAnsi"/>
          <w:sz w:val="22"/>
          <w:szCs w:val="22"/>
        </w:rPr>
        <w:t xml:space="preserve"> önkormányzati bérlakás bérlőjének határozott időtartamra kötött bérleti szerződése lejárt, </w:t>
      </w:r>
      <w:r w:rsidR="005B1F7D">
        <w:rPr>
          <w:rFonts w:asciiTheme="minorHAnsi" w:hAnsiTheme="minorHAnsi" w:cstheme="minorHAnsi"/>
          <w:sz w:val="22"/>
          <w:szCs w:val="22"/>
        </w:rPr>
        <w:t xml:space="preserve">annak </w:t>
      </w:r>
      <w:r>
        <w:rPr>
          <w:rFonts w:asciiTheme="minorHAnsi" w:hAnsiTheme="minorHAnsi" w:cstheme="minorHAnsi"/>
          <w:sz w:val="22"/>
          <w:szCs w:val="22"/>
        </w:rPr>
        <w:t>meghosszabbítás</w:t>
      </w:r>
      <w:r w:rsidR="005B1F7D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ra nem került sor. A többszöri bérleményellenőrzés a volt bérlőt nem találta a bérleményben, a szomszédok elmondása szerint a lakáshasználó külföldre költözött.  </w:t>
      </w:r>
      <w:r w:rsidR="00BE32E8">
        <w:rPr>
          <w:rFonts w:asciiTheme="minorHAnsi" w:hAnsiTheme="minorHAnsi" w:cstheme="minorHAnsi"/>
          <w:sz w:val="22"/>
          <w:szCs w:val="22"/>
        </w:rPr>
        <w:t>A lakáshasználó a lakást többszöri felszólítás ellenére sem adta vissza az önkormányzat birtokába.</w:t>
      </w:r>
    </w:p>
    <w:p w14:paraId="02C002E1" w14:textId="77777777" w:rsidR="00CE169D" w:rsidRDefault="00CE169D" w:rsidP="002411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712E4" w14:textId="77777777" w:rsidR="00726882" w:rsidRDefault="000F0FAD" w:rsidP="002411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 tényállás alapján önkormányzatunk a lakás kiürítése iránt pert indított és a jogerős bírósági döntés birtokában – a döntés foganatosítása érdekében – végrehajtást kezdeményezett. </w:t>
      </w:r>
    </w:p>
    <w:p w14:paraId="1398CEB9" w14:textId="77777777" w:rsidR="00726882" w:rsidRDefault="00726882" w:rsidP="002411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F4F1E" w14:textId="77777777" w:rsidR="00726882" w:rsidRPr="00CE169D" w:rsidRDefault="00726882" w:rsidP="0072688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69D">
        <w:rPr>
          <w:rFonts w:asciiTheme="minorHAnsi" w:hAnsiTheme="minorHAnsi" w:cstheme="minorHAnsi"/>
          <w:b/>
          <w:bCs/>
          <w:sz w:val="22"/>
          <w:szCs w:val="22"/>
        </w:rPr>
        <w:t xml:space="preserve">A Polgármesteri Hivatal szakmai álláspontja és alkalmazott gyakorlata az alábbiak szerint foglalható össze: </w:t>
      </w:r>
    </w:p>
    <w:p w14:paraId="4AAA2A4F" w14:textId="77777777" w:rsidR="00191A8B" w:rsidRDefault="00191A8B" w:rsidP="002411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69E95" w14:textId="2DEF7462" w:rsidR="00191A8B" w:rsidRDefault="00191A8B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>
        <w:rPr>
          <w:rFonts w:asciiTheme="minorHAnsi" w:hAnsiTheme="minorHAnsi" w:cstheme="minorHAnsi"/>
          <w:sz w:val="22"/>
          <w:szCs w:val="22"/>
        </w:rPr>
        <w:t xml:space="preserve">Elsődleges állításunk az ügyben, hogy </w:t>
      </w:r>
      <w:r w:rsidRPr="00191A8B">
        <w:rPr>
          <w:rFonts w:asciiTheme="minorHAnsi" w:hAnsiTheme="minorHAnsi" w:cstheme="minorHAnsi"/>
          <w:sz w:val="22"/>
          <w:szCs w:val="22"/>
        </w:rPr>
        <w:t xml:space="preserve">a lakás használója mindaddig a lakás birtokosának minősül, ameddig onnan a visszatérés szándéka nélkül nem költözik ki és </w:t>
      </w:r>
      <w:r w:rsidR="001B256B">
        <w:rPr>
          <w:rFonts w:asciiTheme="minorHAnsi" w:hAnsiTheme="minorHAnsi" w:cstheme="minorHAnsi"/>
          <w:sz w:val="22"/>
          <w:szCs w:val="22"/>
        </w:rPr>
        <w:t xml:space="preserve">nem </w:t>
      </w:r>
      <w:r w:rsidRPr="00191A8B">
        <w:rPr>
          <w:rFonts w:asciiTheme="minorHAnsi" w:hAnsiTheme="minorHAnsi" w:cstheme="minorHAnsi"/>
          <w:sz w:val="22"/>
          <w:szCs w:val="22"/>
        </w:rPr>
        <w:t>adja vissza a lakást az önkormányzat birtokába</w:t>
      </w:r>
      <w:r>
        <w:rPr>
          <w:rFonts w:asciiTheme="minorHAnsi" w:hAnsiTheme="minorHAnsi" w:cstheme="minorHAnsi"/>
          <w:sz w:val="22"/>
          <w:szCs w:val="22"/>
        </w:rPr>
        <w:t xml:space="preserve"> (függetlenül a szomszédok elmondására és a bérleményellenőrzés tapasztalataira alapozott ténybeli következtetésektől)</w:t>
      </w:r>
      <w:r w:rsidRPr="00191A8B">
        <w:rPr>
          <w:rFonts w:asciiTheme="minorHAnsi" w:hAnsiTheme="minorHAnsi" w:cstheme="minorHAnsi"/>
          <w:sz w:val="22"/>
          <w:szCs w:val="22"/>
        </w:rPr>
        <w:t>. A</w:t>
      </w:r>
      <w:r w:rsidRPr="00191A8B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Ptk. 5:4 §-hoz fűzött kommentár szerint ugyanis: „A birtok nem azonos a dolog feletti fizikai uralommal, hanem a dolog feletti jogi uralomból fakadó, a jogrend által védelemben részesített alanyi jog. Ebből az is következik, hogy a dolog feletti tényleges hatalom megszűnése önmagában nem jár a birtok elvesztésével. Ha a dolog feletti hatalom megszűnése ideiglenes, vagy a tényleges hatalom gyakorlásában a birtokos akadályoztatva van, ezáltal még a birtokot nem veszti el. A birtok elvesztése kapcsán kifejtettekből következik, hogy a birtok nem vész el azzal, hogy a birtokos a tényleges hatalom gyakorlásával időlegesen felhagy, vagy a tényleges hatalom gyakorlásában időlegesen akadályoztatva van”. 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Megjegyezzük, hogy a lakás használóját ezen időszak alatt is terheli használati díj és közüzemi díj fizetési kötelezettség. </w:t>
      </w:r>
    </w:p>
    <w:p w14:paraId="0EC6E624" w14:textId="77777777" w:rsidR="00AF59A1" w:rsidRDefault="00AF59A1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</w:p>
    <w:p w14:paraId="0B07A4C4" w14:textId="4731964C" w:rsidR="00AF59A1" w:rsidRPr="00670AFC" w:rsidRDefault="00AF59A1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 w:rsidRPr="00AF59A1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További állításunk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az ügyben: </w:t>
      </w:r>
      <w:r w:rsidRPr="00AF59A1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ha a lakáshasználó nem adja vissza a lakás birtokát a tulajdonos önkormányzatnak, úgy a bérlakás birtokát kizárólag bírói út igénybe vételével szerezheti meg az önkormányzat. E </w:t>
      </w:r>
      <w:r w:rsidR="00191A8B" w:rsidRPr="00AF59A1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körben utal</w:t>
      </w:r>
      <w:r w:rsidRPr="00AF59A1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un</w:t>
      </w:r>
      <w:r w:rsidR="00191A8B" w:rsidRPr="00AF59A1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k a Ptk. 5:6. §-ához fűzött nagykommentárra, miszerint: a Ptk. 1:6. §-ában foglalt rendelkezés biztosítja az igazságszolgáltatás állami monopóliumát, amely szerint a jogok érvényesítése bírói útra tartozik, és ettől csak törvényi rendelkezés térhet el. A lakástörvény pedig eltérő szabályt e körben </w:t>
      </w:r>
      <w:r w:rsidR="00191A8B" w:rsidRPr="00670AF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nem ismer</w:t>
      </w:r>
      <w:r w:rsidRPr="00670AF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.</w:t>
      </w:r>
    </w:p>
    <w:p w14:paraId="0608A5B8" w14:textId="77777777" w:rsidR="00670AFC" w:rsidRDefault="00670AFC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</w:p>
    <w:p w14:paraId="0271C0F6" w14:textId="77777777" w:rsidR="008213D6" w:rsidRPr="00670AFC" w:rsidRDefault="008213D6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</w:p>
    <w:p w14:paraId="68DDFE15" w14:textId="6EED8F86" w:rsidR="00635A7C" w:rsidRDefault="00670AFC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 w:rsidRPr="00670AF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lastRenderedPageBreak/>
        <w:t xml:space="preserve">Harmadsorban pedig határozott álláspontunk az ügyben, hogy a bírói döntésnek az önkormányzat kizárólag bírósági végrehajtás útján szerezhet érvényt.  Ennek alátámasztására hivatkozunk </w:t>
      </w:r>
      <w:r w:rsidR="00191A8B" w:rsidRPr="00670AF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a bírósági végrehajtásról szóló 1994. évi LIII. törvény 1. §-</w:t>
      </w:r>
      <w:r w:rsidRPr="00670AF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ára,</w:t>
      </w:r>
      <w:r w:rsidR="00191A8B" w:rsidRPr="00670AF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miszerint: „A bíróságok és a jogvitát eldöntő más szervek határozatait, továbbá egyes okiratokon alapuló követeléseket bírósági végrehajtás útján, e törvény szerint kell végrehajtani.</w:t>
      </w:r>
      <w:r w:rsid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”.</w:t>
      </w:r>
    </w:p>
    <w:p w14:paraId="7CB28ABF" w14:textId="77777777" w:rsidR="008213D6" w:rsidRDefault="008213D6" w:rsidP="00635A7C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</w:p>
    <w:p w14:paraId="024C0BF0" w14:textId="53FBC76F" w:rsidR="00635A7C" w:rsidRDefault="00635A7C" w:rsidP="00635A7C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 w:rsidRP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Fenti eljárásrendet igazolja véleményünk szerint, hogy 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az </w:t>
      </w:r>
      <w:r w:rsidRP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EH 2002.733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alapján a</w:t>
      </w:r>
      <w:r w:rsidRP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házijog büntetőjogi védelme a lakáshasználót megilleti a lakás tulajdonosával szemben abban az esetben is, ha az utóbbi - bizonyos mértékben méltányolható okból - a lakás használatának megszüntetésére és a lakás átadására hívta fel [</w:t>
      </w:r>
      <w:hyperlink r:id="rId11" w:tgtFrame="_blank" w:history="1">
        <w:r w:rsidRPr="00635A7C">
          <w:rPr>
            <w:rStyle w:val="Hiperhivatkozs"/>
            <w:rFonts w:asciiTheme="minorHAnsi" w:eastAsiaTheme="minorEastAsia" w:hAnsiTheme="minorHAnsi" w:cstheme="minorHAnsi"/>
            <w:i/>
            <w:iCs/>
            <w:sz w:val="22"/>
            <w:szCs w:val="22"/>
            <w14:ligatures w14:val="standardContextual"/>
          </w:rPr>
          <w:t>Btk. 176. § (1)</w:t>
        </w:r>
      </w:hyperlink>
      <w:r w:rsidRP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, </w:t>
      </w:r>
      <w:hyperlink r:id="rId12" w:tgtFrame="_blank" w:history="1">
        <w:r w:rsidRPr="00635A7C">
          <w:rPr>
            <w:rStyle w:val="Hiperhivatkozs"/>
            <w:rFonts w:asciiTheme="minorHAnsi" w:eastAsiaTheme="minorEastAsia" w:hAnsiTheme="minorHAnsi" w:cstheme="minorHAnsi"/>
            <w:i/>
            <w:iCs/>
            <w:sz w:val="22"/>
            <w:szCs w:val="22"/>
            <w14:ligatures w14:val="standardContextual"/>
          </w:rPr>
          <w:t>(2)</w:t>
        </w:r>
      </w:hyperlink>
      <w:r w:rsidRP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 és </w:t>
      </w:r>
      <w:hyperlink r:id="rId13" w:tgtFrame="_blank" w:history="1">
        <w:r w:rsidRPr="00635A7C">
          <w:rPr>
            <w:rStyle w:val="Hiperhivatkozs"/>
            <w:rFonts w:asciiTheme="minorHAnsi" w:eastAsiaTheme="minorEastAsia" w:hAnsiTheme="minorHAnsi" w:cstheme="minorHAnsi"/>
            <w:i/>
            <w:iCs/>
            <w:sz w:val="22"/>
            <w:szCs w:val="22"/>
            <w14:ligatures w14:val="standardContextual"/>
          </w:rPr>
          <w:t>(4) bek.</w:t>
        </w:r>
      </w:hyperlink>
      <w:r w:rsidRP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].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A</w:t>
      </w:r>
      <w:r w:rsidRP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bírói gyakorlat kezdettől fogva egységes és következetes abban, hogy ha a lakás használója jogszerűen költözött a lakásba és ott is lakik, akkor megilleti a lakás használatához való jog, még akkor is, ha a ben</w:t>
      </w:r>
      <w:r w:rsidR="008213D6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n</w:t>
      </w:r>
      <w:r w:rsidRPr="00635A7C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tartózkodásának jogcíme időközben megszűnt, így igényt tarthat az ún. házijog büntetőjogi védelmére akár a lakás tulajdonosával szemben is. Az ő engedélye nélkül a hasonló módon ott lakón kívül más személy csak tűzoltás vagy más hasonló súlyú és szükségességű segítségnyújtás jogcímén mehet be a lakásba; a bemenetel minden más esetben jogellenes, függetlenül attól, hogy van-e a behatolónak valamilyen jogcíme erre vagy nincs. Mindebből az következik, hogy az ott nem lakó - legyen az bár maga a lakás tulajdonosa - az esetleg meglévő jogos érdekét is csak más módon érvényesítheti jogszerűen.</w:t>
      </w:r>
    </w:p>
    <w:p w14:paraId="3D1438CD" w14:textId="77777777" w:rsidR="00FC29EF" w:rsidRDefault="00FC29EF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</w:p>
    <w:p w14:paraId="4F708DEA" w14:textId="77777777" w:rsidR="00BE14A7" w:rsidRDefault="00BE14A7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</w:p>
    <w:p w14:paraId="5D834C0D" w14:textId="375E421A" w:rsidR="00CE169D" w:rsidRPr="00670AFC" w:rsidRDefault="00CE169D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 w:rsidRPr="00635A7C">
        <w:rPr>
          <w:rFonts w:asciiTheme="minorHAnsi" w:eastAsiaTheme="minorEastAsia" w:hAnsiTheme="minorHAnsi" w:cstheme="minorHAnsi"/>
          <w:b/>
          <w:bCs/>
          <w:sz w:val="22"/>
          <w:szCs w:val="22"/>
          <w14:ligatures w14:val="standardContextual"/>
        </w:rPr>
        <w:t xml:space="preserve">Fentiekkel ellentétes álláspontra helyezkedett </w:t>
      </w:r>
      <w:r w:rsidR="00FC29EF">
        <w:rPr>
          <w:rFonts w:asciiTheme="minorHAnsi" w:eastAsiaTheme="minorEastAsia" w:hAnsiTheme="minorHAnsi" w:cstheme="minorHAnsi"/>
          <w:b/>
          <w:bCs/>
          <w:sz w:val="22"/>
          <w:szCs w:val="22"/>
          <w14:ligatures w14:val="standardContextual"/>
        </w:rPr>
        <w:t xml:space="preserve">és kéri az önkormányzati gyakorlat felülvizsgálatát és módosítását </w:t>
      </w:r>
      <w:r w:rsidRPr="00635A7C">
        <w:rPr>
          <w:rFonts w:asciiTheme="minorHAnsi" w:eastAsiaTheme="minorEastAsia" w:hAnsiTheme="minorHAnsi" w:cstheme="minorHAnsi"/>
          <w:b/>
          <w:bCs/>
          <w:sz w:val="22"/>
          <w:szCs w:val="22"/>
          <w14:ligatures w14:val="standardContextual"/>
        </w:rPr>
        <w:t>a lakásügyekkel foglalkozó bizottság elnöke,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akinek szakmai </w:t>
      </w:r>
      <w:r w:rsidR="00FC29EF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meggyőződése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szerint, ha a rendelkezésre álló ténybeli körülményekből (szomszédok elmondása, bérleményellenőrzés tapasztalatai) az a megalapozott</w:t>
      </w:r>
      <w:r w:rsidR="002A5ECF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következtés vonható le, miszerint a lakáshasználó nem lakik életvitelszerűen a bérleményben</w:t>
      </w:r>
      <w:r w:rsidR="002A5ECF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(mely körülmény megállapítása tekintetében egységes eljárásrendet kívánna rögzíteni elnök úr)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, úgy ebben az esetben nem szükséges bírói út és ahhoz kapcsolódóan végrehajtási eljárás igénybe vétele, hanem az önkormányzat saját döntése alapján, az előző eljárások nélkül zárat cserélhet a szóban forgó bérlakáson</w:t>
      </w:r>
      <w:r w:rsidR="00911425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, majd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ezt követően azt kiürítheti</w:t>
      </w:r>
      <w:r w:rsidR="00911425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és más bérlő részére bérbe adhatja. </w:t>
      </w:r>
    </w:p>
    <w:p w14:paraId="54577E7A" w14:textId="00825B53" w:rsidR="00BE14A7" w:rsidRPr="00995E2E" w:rsidRDefault="00191A8B" w:rsidP="00191A8B">
      <w:pPr>
        <w:rPr>
          <w:rFonts w:eastAsiaTheme="minorEastAsia"/>
          <w:b/>
          <w:bCs/>
          <w14:ligatures w14:val="standardContextual"/>
        </w:rPr>
      </w:pPr>
      <w:r w:rsidRPr="00995E2E">
        <w:rPr>
          <w:rFonts w:eastAsiaTheme="minorEastAsia"/>
          <w:b/>
          <w:bCs/>
          <w14:ligatures w14:val="standardContextual"/>
        </w:rPr>
        <w:t> </w:t>
      </w:r>
    </w:p>
    <w:p w14:paraId="77C61AA7" w14:textId="77777777" w:rsidR="002A5ECF" w:rsidRDefault="002A5ECF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Kérdéseink:</w:t>
      </w:r>
    </w:p>
    <w:p w14:paraId="78F3DD75" w14:textId="77777777" w:rsidR="002A5ECF" w:rsidRDefault="002A5ECF" w:rsidP="002A5ECF">
      <w:pPr>
        <w:pStyle w:val="Listaszerbekezds"/>
        <w:numPr>
          <w:ilvl w:val="0"/>
          <w:numId w:val="2"/>
        </w:numPr>
        <w:jc w:val="both"/>
        <w:rPr>
          <w:rFonts w:eastAsiaTheme="minorEastAsia"/>
          <w14:ligatures w14:val="standardContextual"/>
        </w:rPr>
      </w:pPr>
      <w:r w:rsidRPr="002A5ECF">
        <w:rPr>
          <w:rFonts w:eastAsiaTheme="minorEastAsia"/>
          <w14:ligatures w14:val="standardContextual"/>
        </w:rPr>
        <w:t>az önkormányzat eddig kialakított és alkalmazott gyakorlata megfelel-e a jogszabályoknak?</w:t>
      </w:r>
    </w:p>
    <w:p w14:paraId="196E9CCA" w14:textId="3D8A0F7F" w:rsidR="002A5ECF" w:rsidRPr="002A5ECF" w:rsidRDefault="002A5ECF" w:rsidP="002A5ECF">
      <w:pPr>
        <w:pStyle w:val="Listaszerbekezds"/>
        <w:numPr>
          <w:ilvl w:val="0"/>
          <w:numId w:val="2"/>
        </w:numPr>
        <w:jc w:val="both"/>
        <w:rPr>
          <w:rFonts w:eastAsiaTheme="minorEastAsia"/>
          <w14:ligatures w14:val="standardContextual"/>
        </w:rPr>
      </w:pPr>
      <w:r w:rsidRPr="002A5ECF">
        <w:rPr>
          <w:rFonts w:eastAsiaTheme="minorEastAsia"/>
          <w14:ligatures w14:val="standardContextual"/>
        </w:rPr>
        <w:t xml:space="preserve">az elnök úr által szorgalmazott új eljárásrend </w:t>
      </w:r>
      <w:r>
        <w:rPr>
          <w:rFonts w:eastAsiaTheme="minorEastAsia"/>
          <w14:ligatures w14:val="standardContextual"/>
        </w:rPr>
        <w:t>alkalmazható-e jogszerűen?</w:t>
      </w:r>
    </w:p>
    <w:p w14:paraId="6241DF33" w14:textId="77777777" w:rsidR="002A5ECF" w:rsidRDefault="002A5ECF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</w:p>
    <w:p w14:paraId="380F908A" w14:textId="0F994296" w:rsidR="002A5ECF" w:rsidRDefault="002A5ECF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Amennyiben az üggyel kapcsolatban bármilyen kérdés felmerül, úgy Szentkirályi Bernadett, a Szociális és Lakás Iroda vezetője készséggel áll a rendelkezésükre (tel.: 20/3371393, e-mail: szentkiralyi.bernadett@szombathely.hu).</w:t>
      </w:r>
    </w:p>
    <w:p w14:paraId="62317A48" w14:textId="77777777" w:rsidR="002A5ECF" w:rsidRDefault="002A5ECF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</w:p>
    <w:p w14:paraId="346846F8" w14:textId="4381B678" w:rsidR="00191A8B" w:rsidRPr="00BE14A7" w:rsidRDefault="00BE14A7" w:rsidP="00191A8B">
      <w:pPr>
        <w:jc w:val="both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Kérem, hogy a fenti ügyben kialakított szakmai állásfoglalásukkal önkormányzatunk munkáját segíteni szíveskedjenek!</w:t>
      </w:r>
    </w:p>
    <w:p w14:paraId="0C83FEE3" w14:textId="77777777" w:rsidR="00241175" w:rsidRPr="00DB5C80" w:rsidRDefault="00241175" w:rsidP="00241175">
      <w:pPr>
        <w:rPr>
          <w:rFonts w:asciiTheme="minorHAnsi" w:hAnsiTheme="minorHAnsi" w:cstheme="minorHAnsi"/>
          <w:sz w:val="22"/>
          <w:szCs w:val="22"/>
        </w:rPr>
      </w:pPr>
    </w:p>
    <w:p w14:paraId="38E5E107" w14:textId="2F675A45" w:rsidR="00B14F1F" w:rsidRPr="00DB5C80" w:rsidRDefault="00161C82" w:rsidP="00DB5C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Segítő válaszukat </w:t>
      </w:r>
      <w:r w:rsidR="00B7112D">
        <w:rPr>
          <w:rFonts w:asciiTheme="minorHAnsi" w:hAnsiTheme="minorHAnsi" w:cstheme="minorHAnsi"/>
          <w:sz w:val="22"/>
          <w:szCs w:val="22"/>
        </w:rPr>
        <w:t>ezúton is köszönöm</w:t>
      </w:r>
      <w:r w:rsidR="005F3B16">
        <w:rPr>
          <w:rFonts w:asciiTheme="minorHAnsi" w:hAnsiTheme="minorHAnsi" w:cstheme="minorHAnsi"/>
          <w:sz w:val="22"/>
          <w:szCs w:val="22"/>
        </w:rPr>
        <w:t>!</w:t>
      </w:r>
    </w:p>
    <w:p w14:paraId="33364FA1" w14:textId="77777777" w:rsidR="00DB5C80" w:rsidRDefault="00DB5C80" w:rsidP="00DB5C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0BDD33" w14:textId="77777777" w:rsidR="00BE14A7" w:rsidRPr="005F3B16" w:rsidRDefault="00BE14A7" w:rsidP="00DB5C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D5E37" w14:textId="0CD58CAB" w:rsidR="00DB5C80" w:rsidRPr="005F3B16" w:rsidRDefault="00DB5C80" w:rsidP="00DB5C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3B16">
        <w:rPr>
          <w:rFonts w:asciiTheme="minorHAnsi" w:hAnsiTheme="minorHAnsi" w:cstheme="minorHAnsi"/>
          <w:b/>
          <w:bCs/>
          <w:sz w:val="22"/>
          <w:szCs w:val="22"/>
        </w:rPr>
        <w:t xml:space="preserve">Szombathely, 2025. </w:t>
      </w:r>
      <w:r w:rsidR="00E51F29" w:rsidRPr="005F3B16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5F3B16" w:rsidRPr="005F3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1C8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5F3B16" w:rsidRPr="005F3B1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6DE728" w14:textId="77777777" w:rsidR="00DC1605" w:rsidRDefault="00DC1605" w:rsidP="00DB5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DBA27" w14:textId="68BD3BB6" w:rsidR="005F3B16" w:rsidRPr="005F3B16" w:rsidRDefault="005F3B16" w:rsidP="00DB5C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F3B16">
        <w:rPr>
          <w:rFonts w:asciiTheme="minorHAnsi" w:hAnsiTheme="minorHAnsi" w:cstheme="minorHAnsi"/>
          <w:b/>
          <w:bCs/>
          <w:sz w:val="22"/>
          <w:szCs w:val="22"/>
        </w:rPr>
        <w:t>Tisztelettel:</w:t>
      </w:r>
    </w:p>
    <w:p w14:paraId="4E742B50" w14:textId="77777777" w:rsidR="00DB5C80" w:rsidRPr="00DB5C80" w:rsidRDefault="00DB5C80" w:rsidP="00DB5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6475D" w14:textId="6D284250" w:rsidR="00DB5C80" w:rsidRPr="00DB5C80" w:rsidRDefault="00DB5C80" w:rsidP="00137F22">
      <w:pPr>
        <w:jc w:val="both"/>
        <w:rPr>
          <w:rFonts w:asciiTheme="minorHAnsi" w:hAnsiTheme="minorHAnsi" w:cstheme="minorHAnsi"/>
          <w:sz w:val="22"/>
          <w:szCs w:val="22"/>
        </w:rPr>
      </w:pPr>
      <w:r w:rsidRPr="00DB5C8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</w:t>
      </w:r>
      <w:r w:rsidR="00922FA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DB5C8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5F3B16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413C6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C80">
        <w:rPr>
          <w:rFonts w:asciiTheme="minorHAnsi" w:hAnsiTheme="minorHAnsi" w:cstheme="minorHAnsi"/>
          <w:b/>
          <w:bCs/>
          <w:sz w:val="22"/>
          <w:szCs w:val="22"/>
        </w:rPr>
        <w:t>/:</w:t>
      </w:r>
      <w:r w:rsidR="00917D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C80">
        <w:rPr>
          <w:rFonts w:asciiTheme="minorHAnsi" w:hAnsiTheme="minorHAnsi" w:cstheme="minorHAnsi"/>
          <w:b/>
          <w:bCs/>
          <w:sz w:val="22"/>
          <w:szCs w:val="22"/>
        </w:rPr>
        <w:t>Dr. Károlyi Ákos</w:t>
      </w:r>
      <w:r w:rsidR="00917D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C80">
        <w:rPr>
          <w:rFonts w:asciiTheme="minorHAnsi" w:hAnsiTheme="minorHAnsi" w:cstheme="minorHAnsi"/>
          <w:b/>
          <w:bCs/>
          <w:sz w:val="22"/>
          <w:szCs w:val="22"/>
        </w:rPr>
        <w:t>:/</w:t>
      </w:r>
    </w:p>
    <w:sectPr w:rsidR="00DB5C80" w:rsidRPr="00DB5C80" w:rsidSect="00E82F69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0C25B" w14:textId="77777777" w:rsidR="000A0F40" w:rsidRDefault="000A0F40">
      <w:r>
        <w:separator/>
      </w:r>
    </w:p>
  </w:endnote>
  <w:endnote w:type="continuationSeparator" w:id="0">
    <w:p w14:paraId="755FBB12" w14:textId="77777777" w:rsidR="000A0F40" w:rsidRDefault="000A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4D55" w14:textId="77777777" w:rsidR="005F19FE" w:rsidRPr="0034130E" w:rsidRDefault="000A0F4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80520E" wp14:editId="38D8BC6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C397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7C2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7C2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A55E8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35EE9DD" w14:textId="77777777" w:rsidR="00A477B0" w:rsidRPr="007D6D64" w:rsidRDefault="00A477B0" w:rsidP="00A477B0">
    <w:pPr>
      <w:jc w:val="right"/>
      <w:rPr>
        <w:rFonts w:asciiTheme="minorHAnsi" w:hAnsiTheme="minorHAnsi" w:cstheme="minorHAnsi"/>
        <w:sz w:val="20"/>
        <w:szCs w:val="20"/>
      </w:rPr>
    </w:pPr>
    <w:bookmarkStart w:id="1" w:name="_Hlk115421290"/>
    <w:r w:rsidRPr="007D6D64">
      <w:rPr>
        <w:rFonts w:asciiTheme="minorHAnsi" w:hAnsiTheme="minorHAnsi" w:cstheme="minorHAnsi"/>
        <w:sz w:val="20"/>
        <w:szCs w:val="20"/>
      </w:rPr>
      <w:t>Telefon: +36 94/520-100</w:t>
    </w:r>
  </w:p>
  <w:p w14:paraId="3B3E81C7" w14:textId="77777777" w:rsidR="00A477B0" w:rsidRPr="007D6D64" w:rsidRDefault="00A477B0" w:rsidP="00A477B0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7D6D64">
      <w:rPr>
        <w:rFonts w:asciiTheme="minorHAnsi" w:hAnsiTheme="minorHAnsi" w:cstheme="minorHAnsi"/>
        <w:sz w:val="20"/>
        <w:szCs w:val="20"/>
      </w:rPr>
      <w:t>KRID: 628508398</w:t>
    </w:r>
  </w:p>
  <w:p w14:paraId="68057580" w14:textId="77777777" w:rsidR="00A477B0" w:rsidRPr="007D6D64" w:rsidRDefault="00A477B0" w:rsidP="00A477B0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7D6D64">
      <w:rPr>
        <w:rFonts w:asciiTheme="minorHAnsi" w:hAnsiTheme="minorHAnsi" w:cstheme="minorHAnsi"/>
        <w:sz w:val="20"/>
        <w:szCs w:val="20"/>
      </w:rPr>
      <w:t>Web: www.szombathely.hu</w:t>
    </w:r>
  </w:p>
  <w:bookmarkEnd w:id="1"/>
  <w:p w14:paraId="618B0AF6" w14:textId="5BB394C3" w:rsidR="005F19FE" w:rsidRPr="00356256" w:rsidRDefault="005F19FE" w:rsidP="00A477B0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D353A" w14:textId="77777777" w:rsidR="000A0F40" w:rsidRDefault="000A0F40">
      <w:r>
        <w:separator/>
      </w:r>
    </w:p>
  </w:footnote>
  <w:footnote w:type="continuationSeparator" w:id="0">
    <w:p w14:paraId="1E764DAF" w14:textId="77777777" w:rsidR="000A0F40" w:rsidRDefault="000A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B010" w14:textId="65D1E0FE" w:rsidR="00BF4D7D" w:rsidRPr="00BF4D7D" w:rsidRDefault="00BF4D7D" w:rsidP="00BF4D7D">
    <w:pPr>
      <w:tabs>
        <w:tab w:val="center" w:pos="1800"/>
        <w:tab w:val="right" w:pos="9072"/>
      </w:tabs>
      <w:ind w:firstLine="1080"/>
      <w:rPr>
        <w:rFonts w:ascii="Calibri" w:hAnsi="Calibri" w:cs="Calibri"/>
        <w:sz w:val="22"/>
        <w:szCs w:val="22"/>
      </w:rPr>
    </w:pPr>
    <w:r w:rsidRPr="00BF4D7D">
      <w:rPr>
        <w:rFonts w:ascii="Calibri" w:hAnsi="Calibri" w:cs="Calibri"/>
        <w:noProof/>
        <w:sz w:val="22"/>
        <w:szCs w:val="22"/>
      </w:rPr>
      <w:drawing>
        <wp:inline distT="0" distB="0" distL="0" distR="0" wp14:anchorId="61E63882" wp14:editId="1C3CDC0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931AC" w14:textId="77777777" w:rsidR="00BF4D7D" w:rsidRPr="00BF4D7D" w:rsidRDefault="00BF4D7D" w:rsidP="00BF4D7D">
    <w:pPr>
      <w:tabs>
        <w:tab w:val="center" w:pos="1843"/>
        <w:tab w:val="center" w:pos="4536"/>
        <w:tab w:val="right" w:pos="9072"/>
      </w:tabs>
      <w:rPr>
        <w:rFonts w:ascii="Calibri" w:hAnsi="Calibri" w:cs="Calibri"/>
        <w:smallCaps/>
        <w:sz w:val="22"/>
        <w:szCs w:val="22"/>
      </w:rPr>
    </w:pPr>
    <w:r w:rsidRPr="00BF4D7D">
      <w:rPr>
        <w:rFonts w:ascii="Calibri" w:hAnsi="Calibri" w:cs="Calibri"/>
        <w:sz w:val="22"/>
        <w:szCs w:val="22"/>
      </w:rPr>
      <w:tab/>
    </w:r>
    <w:r w:rsidRPr="00BF4D7D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75F387D8" w14:textId="77777777" w:rsidR="00BF4D7D" w:rsidRPr="00BF4D7D" w:rsidRDefault="00BF4D7D" w:rsidP="00BF4D7D">
    <w:pPr>
      <w:tabs>
        <w:tab w:val="center" w:pos="1800"/>
      </w:tabs>
      <w:rPr>
        <w:rFonts w:ascii="Calibri" w:hAnsi="Calibri" w:cs="Calibri"/>
        <w:sz w:val="22"/>
        <w:szCs w:val="22"/>
      </w:rPr>
    </w:pPr>
    <w:r w:rsidRPr="00BF4D7D">
      <w:rPr>
        <w:rFonts w:ascii="Calibri" w:hAnsi="Calibri" w:cs="Calibri"/>
        <w:smallCaps/>
        <w:sz w:val="22"/>
        <w:szCs w:val="22"/>
      </w:rPr>
      <w:tab/>
    </w:r>
    <w:r w:rsidRPr="00BF4D7D">
      <w:rPr>
        <w:rFonts w:ascii="Calibri" w:hAnsi="Calibri" w:cs="Calibri"/>
        <w:bCs/>
        <w:smallCaps/>
        <w:sz w:val="22"/>
        <w:szCs w:val="22"/>
      </w:rPr>
      <w:t>Jegyzője</w:t>
    </w:r>
  </w:p>
  <w:p w14:paraId="254CF54B" w14:textId="6C513A4B" w:rsidR="00067BAA" w:rsidRDefault="005F19FE" w:rsidP="00BF4D7D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ascii="Arial" w:hAnsi="Arial" w:cs="Arial"/>
      </w:rPr>
      <w:tab/>
    </w:r>
  </w:p>
  <w:p w14:paraId="49A37C55" w14:textId="146B0342" w:rsidR="005F19FE" w:rsidRPr="00132161" w:rsidRDefault="005F19FE" w:rsidP="00067BAA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</w:rPr>
    </w:pPr>
  </w:p>
  <w:p w14:paraId="1FE59E3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1719"/>
    <w:multiLevelType w:val="hybridMultilevel"/>
    <w:tmpl w:val="85020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5E83"/>
    <w:multiLevelType w:val="hybridMultilevel"/>
    <w:tmpl w:val="01626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40"/>
    <w:rsid w:val="00007531"/>
    <w:rsid w:val="000261F1"/>
    <w:rsid w:val="000316C1"/>
    <w:rsid w:val="00032628"/>
    <w:rsid w:val="0005546A"/>
    <w:rsid w:val="00062CB9"/>
    <w:rsid w:val="00067A52"/>
    <w:rsid w:val="00067BAA"/>
    <w:rsid w:val="000746CB"/>
    <w:rsid w:val="000819EF"/>
    <w:rsid w:val="000A0F40"/>
    <w:rsid w:val="000D5554"/>
    <w:rsid w:val="000E40BF"/>
    <w:rsid w:val="000F0FAD"/>
    <w:rsid w:val="000F1233"/>
    <w:rsid w:val="00132161"/>
    <w:rsid w:val="00137F22"/>
    <w:rsid w:val="00151995"/>
    <w:rsid w:val="0015546B"/>
    <w:rsid w:val="00160ADF"/>
    <w:rsid w:val="00161C82"/>
    <w:rsid w:val="00166B5E"/>
    <w:rsid w:val="001773B7"/>
    <w:rsid w:val="00191A8B"/>
    <w:rsid w:val="00193D33"/>
    <w:rsid w:val="001957B9"/>
    <w:rsid w:val="001A3FEA"/>
    <w:rsid w:val="001A4648"/>
    <w:rsid w:val="001B256B"/>
    <w:rsid w:val="001F6689"/>
    <w:rsid w:val="00241175"/>
    <w:rsid w:val="0026288E"/>
    <w:rsid w:val="002729EA"/>
    <w:rsid w:val="002816A4"/>
    <w:rsid w:val="00291C2B"/>
    <w:rsid w:val="002A5ECF"/>
    <w:rsid w:val="002B37BF"/>
    <w:rsid w:val="002C088D"/>
    <w:rsid w:val="002C2054"/>
    <w:rsid w:val="002D5097"/>
    <w:rsid w:val="002F3A3C"/>
    <w:rsid w:val="002F4FE4"/>
    <w:rsid w:val="0030248C"/>
    <w:rsid w:val="00325973"/>
    <w:rsid w:val="0032649B"/>
    <w:rsid w:val="0034130E"/>
    <w:rsid w:val="00356256"/>
    <w:rsid w:val="003730BB"/>
    <w:rsid w:val="00375806"/>
    <w:rsid w:val="00387E79"/>
    <w:rsid w:val="003C084F"/>
    <w:rsid w:val="003D187B"/>
    <w:rsid w:val="003D3894"/>
    <w:rsid w:val="003D6C34"/>
    <w:rsid w:val="003E1E45"/>
    <w:rsid w:val="00402E1B"/>
    <w:rsid w:val="00406A86"/>
    <w:rsid w:val="0041096E"/>
    <w:rsid w:val="00413C63"/>
    <w:rsid w:val="00431465"/>
    <w:rsid w:val="004B11E9"/>
    <w:rsid w:val="004C0B80"/>
    <w:rsid w:val="004D0D07"/>
    <w:rsid w:val="004E2070"/>
    <w:rsid w:val="004E7D7D"/>
    <w:rsid w:val="004F5428"/>
    <w:rsid w:val="005125B6"/>
    <w:rsid w:val="00524636"/>
    <w:rsid w:val="00552C33"/>
    <w:rsid w:val="0056208C"/>
    <w:rsid w:val="00562483"/>
    <w:rsid w:val="00573A23"/>
    <w:rsid w:val="005B1F7D"/>
    <w:rsid w:val="005B39C2"/>
    <w:rsid w:val="005D1A0F"/>
    <w:rsid w:val="005E718B"/>
    <w:rsid w:val="005F19FE"/>
    <w:rsid w:val="005F3B16"/>
    <w:rsid w:val="00601EBB"/>
    <w:rsid w:val="00630ABE"/>
    <w:rsid w:val="00635A7C"/>
    <w:rsid w:val="00670AFC"/>
    <w:rsid w:val="00682F18"/>
    <w:rsid w:val="0069483D"/>
    <w:rsid w:val="006B5218"/>
    <w:rsid w:val="006C755E"/>
    <w:rsid w:val="006D69BF"/>
    <w:rsid w:val="00712183"/>
    <w:rsid w:val="007220A4"/>
    <w:rsid w:val="00726882"/>
    <w:rsid w:val="0074220A"/>
    <w:rsid w:val="007806A6"/>
    <w:rsid w:val="007B247A"/>
    <w:rsid w:val="007B2FF9"/>
    <w:rsid w:val="007B31BF"/>
    <w:rsid w:val="007F2F31"/>
    <w:rsid w:val="008213D6"/>
    <w:rsid w:val="008406B5"/>
    <w:rsid w:val="00843B2D"/>
    <w:rsid w:val="00862A60"/>
    <w:rsid w:val="008728D0"/>
    <w:rsid w:val="0087558F"/>
    <w:rsid w:val="00883FFA"/>
    <w:rsid w:val="008C7147"/>
    <w:rsid w:val="008D0469"/>
    <w:rsid w:val="008D077A"/>
    <w:rsid w:val="008E52F3"/>
    <w:rsid w:val="00911425"/>
    <w:rsid w:val="00917DBC"/>
    <w:rsid w:val="00922FAE"/>
    <w:rsid w:val="009348EA"/>
    <w:rsid w:val="0095767A"/>
    <w:rsid w:val="0096279B"/>
    <w:rsid w:val="00993381"/>
    <w:rsid w:val="00993B2D"/>
    <w:rsid w:val="009C07C2"/>
    <w:rsid w:val="009D2829"/>
    <w:rsid w:val="009E4EA2"/>
    <w:rsid w:val="009F1412"/>
    <w:rsid w:val="00A06BFF"/>
    <w:rsid w:val="00A2396D"/>
    <w:rsid w:val="00A247F5"/>
    <w:rsid w:val="00A460CE"/>
    <w:rsid w:val="00A477B0"/>
    <w:rsid w:val="00A50237"/>
    <w:rsid w:val="00A56B53"/>
    <w:rsid w:val="00A7633E"/>
    <w:rsid w:val="00A81E0A"/>
    <w:rsid w:val="00AB7B31"/>
    <w:rsid w:val="00AC79FE"/>
    <w:rsid w:val="00AC7C2A"/>
    <w:rsid w:val="00AD08CD"/>
    <w:rsid w:val="00AD3819"/>
    <w:rsid w:val="00AD6430"/>
    <w:rsid w:val="00AE594E"/>
    <w:rsid w:val="00AF132C"/>
    <w:rsid w:val="00AF488F"/>
    <w:rsid w:val="00AF59A1"/>
    <w:rsid w:val="00B14F1F"/>
    <w:rsid w:val="00B257B0"/>
    <w:rsid w:val="00B36FBC"/>
    <w:rsid w:val="00B610E8"/>
    <w:rsid w:val="00B7112D"/>
    <w:rsid w:val="00B81E98"/>
    <w:rsid w:val="00B905FF"/>
    <w:rsid w:val="00B93CB9"/>
    <w:rsid w:val="00BA33DD"/>
    <w:rsid w:val="00BC46F6"/>
    <w:rsid w:val="00BE14A7"/>
    <w:rsid w:val="00BE32E8"/>
    <w:rsid w:val="00BE370B"/>
    <w:rsid w:val="00BF4D7D"/>
    <w:rsid w:val="00C25E04"/>
    <w:rsid w:val="00C45359"/>
    <w:rsid w:val="00C60A29"/>
    <w:rsid w:val="00C7609B"/>
    <w:rsid w:val="00CA7481"/>
    <w:rsid w:val="00CB1227"/>
    <w:rsid w:val="00CB55B3"/>
    <w:rsid w:val="00CC3F93"/>
    <w:rsid w:val="00CD7139"/>
    <w:rsid w:val="00CE169D"/>
    <w:rsid w:val="00D54DF8"/>
    <w:rsid w:val="00DA14B3"/>
    <w:rsid w:val="00DA1FE6"/>
    <w:rsid w:val="00DA6C48"/>
    <w:rsid w:val="00DB5C80"/>
    <w:rsid w:val="00DC1605"/>
    <w:rsid w:val="00DC6870"/>
    <w:rsid w:val="00DE33FC"/>
    <w:rsid w:val="00DF6647"/>
    <w:rsid w:val="00E137DC"/>
    <w:rsid w:val="00E14CE3"/>
    <w:rsid w:val="00E20D95"/>
    <w:rsid w:val="00E51F29"/>
    <w:rsid w:val="00E54E3C"/>
    <w:rsid w:val="00E63B57"/>
    <w:rsid w:val="00E77921"/>
    <w:rsid w:val="00E82F69"/>
    <w:rsid w:val="00E950D2"/>
    <w:rsid w:val="00EC7C11"/>
    <w:rsid w:val="00ED1219"/>
    <w:rsid w:val="00F062C3"/>
    <w:rsid w:val="00F11901"/>
    <w:rsid w:val="00F141AD"/>
    <w:rsid w:val="00F34922"/>
    <w:rsid w:val="00F44EB2"/>
    <w:rsid w:val="00F55B3B"/>
    <w:rsid w:val="00FB00B8"/>
    <w:rsid w:val="00FB58A5"/>
    <w:rsid w:val="00FC29EF"/>
    <w:rsid w:val="00FC662D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5B09C358"/>
  <w15:chartTrackingRefBased/>
  <w15:docId w15:val="{270C227C-BCFB-410D-9620-AF679AAD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576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95767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957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95767A"/>
    <w:rPr>
      <w:rFonts w:ascii="Calibri Light" w:hAnsi="Calibri Light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F55B3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55B3B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DC6870"/>
    <w:rPr>
      <w:sz w:val="24"/>
      <w:szCs w:val="24"/>
    </w:rPr>
  </w:style>
  <w:style w:type="character" w:customStyle="1" w:styleId="ff1">
    <w:name w:val="ff1"/>
    <w:rsid w:val="00F141AD"/>
  </w:style>
  <w:style w:type="paragraph" w:styleId="Listaszerbekezds">
    <w:name w:val="List Paragraph"/>
    <w:basedOn w:val="Norml"/>
    <w:uiPriority w:val="34"/>
    <w:qFormat/>
    <w:rsid w:val="00137F22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191A8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0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gkodex.hu/jsz/btk_1978_4_torveny_341130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ogkodex.hu/jsz/btk_1978_4_torveny_341130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gkodex.hu/jsz/btk_1978_4_torveny_3411302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utcajogasz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orne.agnes\AppData\Local\Microsoft\Windows\INetCache\Content.Outlook\L8ZUZ660\jegyzo-%20&#225;l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1747F-A4B9-4A97-8847-C2E7B452B12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EAC3E6-DE9C-459E-9FFB-DB0C6FD4C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36797-529C-49DE-A1D8-A6625A35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jegyzo- ált</Template>
  <TotalTime>0</TotalTime>
  <Pages>2</Pages>
  <Words>740</Words>
  <Characters>5336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cp:lastModifiedBy>Szentkirályi Bernadett</cp:lastModifiedBy>
  <cp:revision>2</cp:revision>
  <cp:lastPrinted>2020-11-20T08:32:00Z</cp:lastPrinted>
  <dcterms:created xsi:type="dcterms:W3CDTF">2025-04-14T13:03:00Z</dcterms:created>
  <dcterms:modified xsi:type="dcterms:W3CDTF">2025-04-14T13:03:00Z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