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A837" w14:textId="0F568D62" w:rsidR="00775C54" w:rsidRPr="00775C54" w:rsidRDefault="00775C54" w:rsidP="00775C54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</w:pPr>
      <w:r w:rsidRPr="00775C54"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  <w:t>E L Ő T E R J E S Z T É S</w:t>
      </w:r>
    </w:p>
    <w:p w14:paraId="267222D2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E87CB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C1E62" w14:textId="77777777" w:rsidR="00775C54" w:rsidRPr="005F6FAF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F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54672D0" w14:textId="06AE80DA" w:rsidR="00775C54" w:rsidRPr="005F6FAF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3E5F">
        <w:rPr>
          <w:rFonts w:asciiTheme="minorHAnsi" w:hAnsiTheme="minorHAnsi" w:cstheme="minorHAnsi"/>
          <w:b/>
          <w:sz w:val="22"/>
          <w:szCs w:val="22"/>
        </w:rPr>
        <w:t>202</w:t>
      </w:r>
      <w:r w:rsidR="00DB391C">
        <w:rPr>
          <w:rFonts w:asciiTheme="minorHAnsi" w:hAnsiTheme="minorHAnsi" w:cstheme="minorHAnsi"/>
          <w:b/>
          <w:sz w:val="22"/>
          <w:szCs w:val="22"/>
        </w:rPr>
        <w:t>5</w:t>
      </w:r>
      <w:r w:rsidRPr="00413E5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A314E" w:rsidRPr="00FA1F5D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55089E" w:rsidRPr="00FA1F5D">
        <w:rPr>
          <w:rFonts w:asciiTheme="minorHAnsi" w:hAnsiTheme="minorHAnsi" w:cstheme="minorHAnsi"/>
          <w:b/>
          <w:sz w:val="22"/>
          <w:szCs w:val="22"/>
        </w:rPr>
        <w:t>2</w:t>
      </w:r>
      <w:r w:rsidR="00FA1F5D">
        <w:rPr>
          <w:rFonts w:asciiTheme="minorHAnsi" w:hAnsiTheme="minorHAnsi" w:cstheme="minorHAnsi"/>
          <w:b/>
          <w:sz w:val="22"/>
          <w:szCs w:val="22"/>
        </w:rPr>
        <w:t>7</w:t>
      </w:r>
      <w:r w:rsidR="007801D4" w:rsidRPr="00FA1F5D">
        <w:rPr>
          <w:rFonts w:asciiTheme="minorHAnsi" w:hAnsiTheme="minorHAnsi" w:cstheme="minorHAnsi"/>
          <w:b/>
          <w:sz w:val="22"/>
          <w:szCs w:val="22"/>
        </w:rPr>
        <w:t>-i</w:t>
      </w:r>
      <w:r w:rsidRPr="00FA1F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249" w:rsidRPr="00FA1F5D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FA1F5D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0AAF6DE8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AE6DD9" w14:textId="3D420B31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Javaslat 202</w:t>
      </w:r>
      <w:r w:rsidR="00E12CD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E19FD">
        <w:rPr>
          <w:rFonts w:asciiTheme="minorHAnsi" w:hAnsiTheme="minorHAnsi" w:cstheme="minorHAnsi"/>
          <w:b/>
          <w:bCs/>
          <w:sz w:val="22"/>
          <w:szCs w:val="22"/>
        </w:rPr>
        <w:t>. évi belső ellenőrzések végrehajtásával kapcsolatos döntések meghozatalára</w:t>
      </w:r>
    </w:p>
    <w:p w14:paraId="1EB914BF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57C7F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B600A3" w14:textId="7EDF15D1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költségvetési szervek belső kontrollrendszeréről és belső ellenőrzéséről szóló 370/2011. (XII. 31.) Korm. rendelet (a továbbiakban</w:t>
      </w:r>
      <w:r w:rsidR="00F77EC9">
        <w:rPr>
          <w:rFonts w:asciiTheme="minorHAnsi" w:hAnsiTheme="minorHAnsi" w:cstheme="minorHAnsi"/>
          <w:sz w:val="22"/>
          <w:szCs w:val="22"/>
        </w:rPr>
        <w:t>:</w:t>
      </w:r>
      <w:r w:rsidRPr="00CE19FD">
        <w:rPr>
          <w:rFonts w:asciiTheme="minorHAnsi" w:hAnsiTheme="minorHAnsi" w:cstheme="minorHAnsi"/>
          <w:sz w:val="22"/>
          <w:szCs w:val="22"/>
        </w:rPr>
        <w:t xml:space="preserve"> Bkr.) 49. § (3a) bekezdése szerint „a jegyző a tárgyévre vonatkozó éves ellenőrzési jelentést, valamint a helyi önkormányzat által alapított költségvetési szervek éves ellenőrzési jelentései alapján készített összefoglaló</w:t>
      </w:r>
      <w:r w:rsidR="001A1C93">
        <w:rPr>
          <w:rFonts w:asciiTheme="minorHAnsi" w:hAnsiTheme="minorHAnsi" w:cstheme="minorHAnsi"/>
          <w:sz w:val="22"/>
          <w:szCs w:val="22"/>
        </w:rPr>
        <w:t xml:space="preserve"> </w:t>
      </w:r>
      <w:r w:rsidR="001A1C93" w:rsidRPr="00CE19FD">
        <w:rPr>
          <w:rFonts w:asciiTheme="minorHAnsi" w:hAnsiTheme="minorHAnsi" w:cstheme="minorHAnsi"/>
          <w:sz w:val="22"/>
          <w:szCs w:val="22"/>
        </w:rPr>
        <w:t>éves</w:t>
      </w:r>
      <w:r w:rsidRPr="00CE19FD">
        <w:rPr>
          <w:rFonts w:asciiTheme="minorHAnsi" w:hAnsiTheme="minorHAnsi" w:cstheme="minorHAnsi"/>
          <w:sz w:val="22"/>
          <w:szCs w:val="22"/>
        </w:rPr>
        <w:t xml:space="preserve"> ellenőrzési jelentést - a tárgyévet követően, legkésőbb a zárszámadási rendelet elfogadásáig – a képviselő-testület elé terjeszti jóváhagyásra.”  </w:t>
      </w:r>
    </w:p>
    <w:p w14:paraId="1843214B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60F6F0" w14:textId="3553A713" w:rsid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Jelen előterjesztés a) pontját képező éves ellenőrzési jelentés átfogó részletességgel mutatja be a belső ellenőrzés 202</w:t>
      </w:r>
      <w:r w:rsidR="00FC4C84">
        <w:rPr>
          <w:rFonts w:asciiTheme="minorHAnsi" w:hAnsiTheme="minorHAnsi" w:cstheme="minorHAnsi"/>
          <w:sz w:val="22"/>
          <w:szCs w:val="22"/>
        </w:rPr>
        <w:t>4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évi működését a Bkr. előírásai szerint, a napirend b) pontjában pedig az önkormányzat által fenntartott költségvetési intézmények éves ellenőrzési jelentései alapján készített összefoglaló </w:t>
      </w:r>
      <w:r w:rsidR="00257A3F" w:rsidRPr="00CE19FD">
        <w:rPr>
          <w:rFonts w:asciiTheme="minorHAnsi" w:hAnsiTheme="minorHAnsi" w:cstheme="minorHAnsi"/>
          <w:sz w:val="22"/>
          <w:szCs w:val="22"/>
        </w:rPr>
        <w:t xml:space="preserve">éves </w:t>
      </w:r>
      <w:r w:rsidRPr="00CE19FD">
        <w:rPr>
          <w:rFonts w:asciiTheme="minorHAnsi" w:hAnsiTheme="minorHAnsi" w:cstheme="minorHAnsi"/>
          <w:sz w:val="22"/>
          <w:szCs w:val="22"/>
        </w:rPr>
        <w:t>ellenőrzési jelentés kerül ismertetésre.</w:t>
      </w:r>
    </w:p>
    <w:p w14:paraId="33D2F6C1" w14:textId="77777777" w:rsidR="007C528A" w:rsidRPr="00CE19FD" w:rsidRDefault="007C528A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EE33F9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034C1F" w14:textId="77777777" w:rsidR="00CE19FD" w:rsidRPr="00CE19FD" w:rsidRDefault="00CE19FD" w:rsidP="00CE19FD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éves ellenőrzési jelentése </w:t>
      </w:r>
    </w:p>
    <w:p w14:paraId="6125F79A" w14:textId="77777777" w:rsidR="00EB62DD" w:rsidRPr="00CE19FD" w:rsidRDefault="00EB62D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5E250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7DA1F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Vezetői összefoglaló:</w:t>
      </w:r>
    </w:p>
    <w:p w14:paraId="5687C6E7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67E7C" w14:textId="67714132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Hivatalában a Belső Ellenőrzési Iroda bonyolította le az államháztartásról szóló 2011. évi CXCV. törvény </w:t>
      </w:r>
      <w:r w:rsidR="00F77EC9">
        <w:rPr>
          <w:rFonts w:asciiTheme="minorHAnsi" w:hAnsiTheme="minorHAnsi" w:cstheme="minorHAnsi"/>
          <w:sz w:val="22"/>
          <w:szCs w:val="22"/>
        </w:rPr>
        <w:t>(a továbbiakban: Áht.)</w:t>
      </w:r>
      <w:r w:rsidRPr="00CE19FD">
        <w:rPr>
          <w:rFonts w:asciiTheme="minorHAnsi" w:hAnsiTheme="minorHAnsi" w:cstheme="minorHAnsi"/>
          <w:sz w:val="22"/>
          <w:szCs w:val="22"/>
        </w:rPr>
        <w:t xml:space="preserve"> 70. § (1) bekezdése alapján a Polgármesteri Hivatal belső ellenőrzését, az irányítói hatáskörben végzett intézményi ellenőrzéseket, valamint a köztulajdonban álló gazdasági társaságok takarékosabb működéséről szóló 2009. évi CXXII. törvény 1. § a) pontjában meghatározott köztulajdonban álló gazdasági társaságok ellenőrzését. </w:t>
      </w:r>
    </w:p>
    <w:p w14:paraId="728F2A78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lastRenderedPageBreak/>
        <w:t>2015. évtől a Belső Ellenőrzési Iroda látja el a települési nemzetiségi önkormányzatok (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Szombathelyi Horvát Nemzetiségi Önkormányzat</w:t>
      </w:r>
      <w:r w:rsidRPr="00CE19FD">
        <w:rPr>
          <w:rFonts w:asciiTheme="minorHAnsi" w:hAnsiTheme="minorHAnsi" w:cstheme="minorHAnsi"/>
          <w:sz w:val="22"/>
          <w:szCs w:val="22"/>
        </w:rPr>
        <w:t xml:space="preserve">,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 Megyei Jogú Város Német Önkormányzata,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 Megyei Jogú Város Roma Nemzetiségi Önkormányzata</w:t>
      </w:r>
      <w:r w:rsidRPr="00CE19FD">
        <w:rPr>
          <w:rFonts w:asciiTheme="minorHAnsi" w:hAnsiTheme="minorHAnsi" w:cstheme="minorHAnsi"/>
          <w:sz w:val="22"/>
          <w:szCs w:val="22"/>
        </w:rPr>
        <w:t xml:space="preserve">,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Szombathelyi Szlovén Önkormányzat</w:t>
      </w:r>
      <w:r w:rsidRPr="00CE19FD">
        <w:rPr>
          <w:rFonts w:asciiTheme="minorHAnsi" w:hAnsiTheme="minorHAnsi" w:cstheme="minorHAnsi"/>
          <w:sz w:val="22"/>
          <w:szCs w:val="22"/>
        </w:rPr>
        <w:t>) belső ellenőrzését is.</w:t>
      </w:r>
    </w:p>
    <w:p w14:paraId="795D2C1C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5F491F" w14:textId="61067D9D" w:rsidR="001C67F3" w:rsidRPr="001C67F3" w:rsidRDefault="00CE19FD" w:rsidP="001C67F3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Polgármesteri Hivatala Belső Ellenőrzési Irodája a 202</w:t>
      </w:r>
      <w:r w:rsidR="000068B6">
        <w:rPr>
          <w:rFonts w:asciiTheme="minorHAnsi" w:hAnsiTheme="minorHAnsi" w:cstheme="minorHAnsi"/>
          <w:sz w:val="22"/>
          <w:szCs w:val="22"/>
        </w:rPr>
        <w:t>4</w:t>
      </w:r>
      <w:r w:rsidRPr="00CE19FD">
        <w:rPr>
          <w:rFonts w:asciiTheme="minorHAnsi" w:hAnsiTheme="minorHAnsi" w:cstheme="minorHAnsi"/>
          <w:sz w:val="22"/>
          <w:szCs w:val="22"/>
        </w:rPr>
        <w:t>. évi önkormányzati belső</w:t>
      </w:r>
      <w:r w:rsidR="00FA3F58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sz w:val="22"/>
          <w:szCs w:val="22"/>
        </w:rPr>
        <w:t>ellenőrzési tervet és a fenntartó általi belső ellenőrzési tervet kockázatelemzés alapján dolgozta ki</w:t>
      </w:r>
      <w:r w:rsidR="001C67F3">
        <w:rPr>
          <w:rFonts w:asciiTheme="minorHAnsi" w:hAnsiTheme="minorHAnsi" w:cstheme="minorHAnsi"/>
          <w:sz w:val="22"/>
          <w:szCs w:val="22"/>
        </w:rPr>
        <w:t xml:space="preserve">, azokat </w:t>
      </w:r>
      <w:r w:rsidR="001C67F3" w:rsidRPr="001C67F3">
        <w:rPr>
          <w:rFonts w:asciiTheme="minorHAnsi" w:hAnsiTheme="minorHAnsi" w:cstheme="minorHAnsi"/>
          <w:sz w:val="22"/>
          <w:szCs w:val="22"/>
        </w:rPr>
        <w:t>Szombathely Megyei Jogú Város Közgyűlése 202</w:t>
      </w:r>
      <w:r w:rsidR="003027F2">
        <w:rPr>
          <w:rFonts w:asciiTheme="minorHAnsi" w:hAnsiTheme="minorHAnsi" w:cstheme="minorHAnsi"/>
          <w:sz w:val="22"/>
          <w:szCs w:val="22"/>
        </w:rPr>
        <w:t>3</w:t>
      </w:r>
      <w:r w:rsidR="001C67F3" w:rsidRPr="001C67F3">
        <w:rPr>
          <w:rFonts w:asciiTheme="minorHAnsi" w:hAnsiTheme="minorHAnsi" w:cstheme="minorHAnsi"/>
          <w:sz w:val="22"/>
          <w:szCs w:val="22"/>
        </w:rPr>
        <w:t xml:space="preserve">. decemberi ülésén fogadta el. </w:t>
      </w:r>
    </w:p>
    <w:p w14:paraId="06722B62" w14:textId="39E36178" w:rsidR="00CE19FD" w:rsidRPr="001C67F3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5A2A7E" w14:textId="0C3A0B1F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jóváhagyott tervek végrehajtásra kerültek, melyek a Bkr. 48. §-a alapján elkészített éves ellenőrzési jelentésben kerülnek ismertetésre</w:t>
      </w:r>
      <w:r w:rsidR="002430C8">
        <w:rPr>
          <w:rFonts w:asciiTheme="minorHAnsi" w:hAnsiTheme="minorHAnsi" w:cstheme="minorHAnsi"/>
          <w:sz w:val="22"/>
          <w:szCs w:val="22"/>
        </w:rPr>
        <w:t>.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D05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F7497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08A6DC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F6363E" w14:textId="77777777" w:rsidR="00CE19FD" w:rsidRDefault="00CE19FD" w:rsidP="00CE19FD">
      <w:pPr>
        <w:pStyle w:val="Listaszerbekezds"/>
        <w:numPr>
          <w:ilvl w:val="0"/>
          <w:numId w:val="11"/>
        </w:numPr>
        <w:ind w:left="426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 által végzett tevékenység bemutatása önértékelés alapján:</w:t>
      </w:r>
    </w:p>
    <w:p w14:paraId="1C378A8D" w14:textId="77777777" w:rsidR="002430C8" w:rsidRDefault="002430C8" w:rsidP="002430C8">
      <w:pPr>
        <w:jc w:val="both"/>
      </w:pPr>
    </w:p>
    <w:p w14:paraId="219F062F" w14:textId="244A0FF5" w:rsidR="002430C8" w:rsidRPr="00CE19FD" w:rsidRDefault="002430C8" w:rsidP="002430C8">
      <w:pPr>
        <w:jc w:val="both"/>
        <w:rPr>
          <w:rFonts w:asciiTheme="minorHAnsi" w:hAnsiTheme="minorHAnsi" w:cstheme="minorHAnsi"/>
          <w:sz w:val="22"/>
          <w:szCs w:val="22"/>
        </w:rPr>
      </w:pPr>
      <w:r w:rsidRPr="00DF5CC3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003C63">
        <w:rPr>
          <w:rFonts w:asciiTheme="minorHAnsi" w:hAnsiTheme="minorHAnsi" w:cstheme="minorHAnsi"/>
          <w:sz w:val="22"/>
          <w:szCs w:val="22"/>
        </w:rPr>
        <w:t>4</w:t>
      </w:r>
      <w:r w:rsidRPr="00DF5CC3">
        <w:rPr>
          <w:rFonts w:asciiTheme="minorHAnsi" w:hAnsiTheme="minorHAnsi" w:cstheme="minorHAnsi"/>
          <w:sz w:val="22"/>
          <w:szCs w:val="22"/>
        </w:rPr>
        <w:t xml:space="preserve">. évi belső ellenőrzési tervét a Közgyűlés a </w:t>
      </w:r>
      <w:r w:rsidR="00DF5CC3">
        <w:rPr>
          <w:rFonts w:asciiTheme="minorHAnsi" w:hAnsiTheme="minorHAnsi" w:cstheme="minorHAnsi"/>
          <w:sz w:val="22"/>
          <w:szCs w:val="22"/>
        </w:rPr>
        <w:t>4</w:t>
      </w:r>
      <w:r w:rsidR="00003C63">
        <w:rPr>
          <w:rFonts w:asciiTheme="minorHAnsi" w:hAnsiTheme="minorHAnsi" w:cstheme="minorHAnsi"/>
          <w:sz w:val="22"/>
          <w:szCs w:val="22"/>
        </w:rPr>
        <w:t>29</w:t>
      </w:r>
      <w:r w:rsidRPr="00DF5CC3">
        <w:rPr>
          <w:rFonts w:asciiTheme="minorHAnsi" w:hAnsiTheme="minorHAnsi" w:cstheme="minorHAnsi"/>
          <w:sz w:val="22"/>
          <w:szCs w:val="22"/>
        </w:rPr>
        <w:t>/202</w:t>
      </w:r>
      <w:r w:rsidR="00003C63">
        <w:rPr>
          <w:rFonts w:asciiTheme="minorHAnsi" w:hAnsiTheme="minorHAnsi" w:cstheme="minorHAnsi"/>
          <w:sz w:val="22"/>
          <w:szCs w:val="22"/>
        </w:rPr>
        <w:t>3</w:t>
      </w:r>
      <w:r w:rsidRPr="00DF5CC3">
        <w:rPr>
          <w:rFonts w:asciiTheme="minorHAnsi" w:hAnsiTheme="minorHAnsi" w:cstheme="minorHAnsi"/>
          <w:sz w:val="22"/>
          <w:szCs w:val="22"/>
        </w:rPr>
        <w:t>.(XII.</w:t>
      </w:r>
      <w:r w:rsidR="00003C63">
        <w:rPr>
          <w:rFonts w:asciiTheme="minorHAnsi" w:hAnsiTheme="minorHAnsi" w:cstheme="minorHAnsi"/>
          <w:sz w:val="22"/>
          <w:szCs w:val="22"/>
        </w:rPr>
        <w:t>14</w:t>
      </w:r>
      <w:r w:rsidRPr="00DF5CC3">
        <w:rPr>
          <w:rFonts w:asciiTheme="minorHAnsi" w:hAnsiTheme="minorHAnsi" w:cstheme="minorHAnsi"/>
          <w:sz w:val="22"/>
          <w:szCs w:val="22"/>
        </w:rPr>
        <w:t>.) Kgy. sz. határozatával, Szombathely Megyei Jogú Város Önkormányzata költségvetési intézményeinek 202</w:t>
      </w:r>
      <w:r w:rsidR="00345F65">
        <w:rPr>
          <w:rFonts w:asciiTheme="minorHAnsi" w:hAnsiTheme="minorHAnsi" w:cstheme="minorHAnsi"/>
          <w:sz w:val="22"/>
          <w:szCs w:val="22"/>
        </w:rPr>
        <w:t>4</w:t>
      </w:r>
      <w:r w:rsidRPr="00DF5CC3">
        <w:rPr>
          <w:rFonts w:asciiTheme="minorHAnsi" w:hAnsiTheme="minorHAnsi" w:cstheme="minorHAnsi"/>
          <w:sz w:val="22"/>
          <w:szCs w:val="22"/>
        </w:rPr>
        <w:t xml:space="preserve">. évi fenntartó általi ellenőrzési tervét a </w:t>
      </w:r>
      <w:r w:rsidR="00DF5CC3">
        <w:rPr>
          <w:rFonts w:asciiTheme="minorHAnsi" w:hAnsiTheme="minorHAnsi" w:cstheme="minorHAnsi"/>
          <w:sz w:val="22"/>
          <w:szCs w:val="22"/>
        </w:rPr>
        <w:t>4</w:t>
      </w:r>
      <w:r w:rsidR="00345F65">
        <w:rPr>
          <w:rFonts w:asciiTheme="minorHAnsi" w:hAnsiTheme="minorHAnsi" w:cstheme="minorHAnsi"/>
          <w:sz w:val="22"/>
          <w:szCs w:val="22"/>
        </w:rPr>
        <w:t>30</w:t>
      </w:r>
      <w:r w:rsidRPr="00DF5CC3">
        <w:rPr>
          <w:rFonts w:asciiTheme="minorHAnsi" w:hAnsiTheme="minorHAnsi" w:cstheme="minorHAnsi"/>
          <w:sz w:val="22"/>
          <w:szCs w:val="22"/>
        </w:rPr>
        <w:t>/202</w:t>
      </w:r>
      <w:r w:rsidR="00345F65">
        <w:rPr>
          <w:rFonts w:asciiTheme="minorHAnsi" w:hAnsiTheme="minorHAnsi" w:cstheme="minorHAnsi"/>
          <w:sz w:val="22"/>
          <w:szCs w:val="22"/>
        </w:rPr>
        <w:t>3</w:t>
      </w:r>
      <w:r w:rsidRPr="00DF5CC3">
        <w:rPr>
          <w:rFonts w:asciiTheme="minorHAnsi" w:hAnsiTheme="minorHAnsi" w:cstheme="minorHAnsi"/>
          <w:sz w:val="22"/>
          <w:szCs w:val="22"/>
        </w:rPr>
        <w:t>. (XII.</w:t>
      </w:r>
      <w:r w:rsidR="00345F65">
        <w:rPr>
          <w:rFonts w:asciiTheme="minorHAnsi" w:hAnsiTheme="minorHAnsi" w:cstheme="minorHAnsi"/>
          <w:sz w:val="22"/>
          <w:szCs w:val="22"/>
        </w:rPr>
        <w:t>14</w:t>
      </w:r>
      <w:r w:rsidRPr="00DF5CC3">
        <w:rPr>
          <w:rFonts w:asciiTheme="minorHAnsi" w:hAnsiTheme="minorHAnsi" w:cstheme="minorHAnsi"/>
          <w:sz w:val="22"/>
          <w:szCs w:val="22"/>
        </w:rPr>
        <w:t>.) Kgy. sz. határozatával fogadta el.</w:t>
      </w:r>
    </w:p>
    <w:p w14:paraId="24247706" w14:textId="0122F70B" w:rsidR="002430C8" w:rsidRDefault="002430C8" w:rsidP="002430C8">
      <w:pPr>
        <w:ind w:left="142"/>
        <w:jc w:val="both"/>
      </w:pPr>
    </w:p>
    <w:p w14:paraId="718BA6B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7BCF5D" w14:textId="252C00B9" w:rsidR="00343253" w:rsidRPr="00CE19FD" w:rsidRDefault="00343253" w:rsidP="00343253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432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éves ellenőrzési tervben foglalt feladatok teljesítésének értékelése:</w:t>
      </w:r>
    </w:p>
    <w:p w14:paraId="15878B2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C70503" w14:textId="02C13045" w:rsidR="00146C79" w:rsidRDefault="00146C79" w:rsidP="00146C79">
      <w:pPr>
        <w:jc w:val="both"/>
        <w:rPr>
          <w:rFonts w:asciiTheme="minorHAnsi" w:hAnsiTheme="minorHAnsi" w:cstheme="minorHAnsi"/>
          <w:sz w:val="22"/>
          <w:szCs w:val="22"/>
        </w:rPr>
      </w:pPr>
      <w:r w:rsidRPr="00206E9F">
        <w:rPr>
          <w:rFonts w:asciiTheme="minorHAnsi" w:hAnsiTheme="minorHAnsi" w:cstheme="minorHAnsi"/>
          <w:sz w:val="22"/>
          <w:szCs w:val="22"/>
        </w:rPr>
        <w:t>Szombathely Megyei Jogú Város Önkormányzata belső ellenőrzési terve, illetve fenntartó általi ellenőrzési terve összesen 549 ellenőrzési nappal került tervezésre. A felhasznált tényleges ellenőri napok száma, továbbá a lefolytatott ellenőrzések az ellenőrzési tervnek megfelelően alakultak. A Belső Ellenőrzési Iroda 202</w:t>
      </w:r>
      <w:r w:rsidR="00B46184">
        <w:rPr>
          <w:rFonts w:asciiTheme="minorHAnsi" w:hAnsiTheme="minorHAnsi" w:cstheme="minorHAnsi"/>
          <w:sz w:val="22"/>
          <w:szCs w:val="22"/>
        </w:rPr>
        <w:t>4</w:t>
      </w:r>
      <w:r w:rsidRPr="00206E9F">
        <w:rPr>
          <w:rFonts w:asciiTheme="minorHAnsi" w:hAnsiTheme="minorHAnsi" w:cstheme="minorHAnsi"/>
          <w:sz w:val="22"/>
          <w:szCs w:val="22"/>
        </w:rPr>
        <w:t>. évi tevékenységének ellenőri napok szerinti megosztását az előterjesztés 1-2-3. számú mellékletei mutatják be.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103D2" w14:textId="77777777" w:rsidR="00976133" w:rsidRPr="00CE19FD" w:rsidRDefault="00976133" w:rsidP="00146C7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AFD46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CD1BF" w14:textId="77777777" w:rsidR="00710D1D" w:rsidRDefault="00710D1D" w:rsidP="00710D1D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tárgyévre vonatkozó éves ellenőrzési terv teljesítése, az ellenőrzések összesítése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089784CD" w14:textId="77777777" w:rsidR="00710D1D" w:rsidRDefault="00710D1D" w:rsidP="00710D1D">
      <w:pPr>
        <w:tabs>
          <w:tab w:val="left" w:pos="567"/>
        </w:tabs>
        <w:jc w:val="both"/>
      </w:pPr>
    </w:p>
    <w:p w14:paraId="7D9CD21D" w14:textId="77777777" w:rsidR="00146C79" w:rsidRDefault="00146C79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3DD89" w14:textId="76ADE897" w:rsidR="00CE19F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2430C8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B4618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évi belső ellenőrzési terve a</w:t>
      </w:r>
      <w:r w:rsidR="00CE19FD" w:rsidRPr="00CE19FD">
        <w:rPr>
          <w:rFonts w:asciiTheme="minorHAnsi" w:hAnsiTheme="minorHAnsi" w:cstheme="minorHAnsi"/>
          <w:sz w:val="22"/>
          <w:szCs w:val="22"/>
        </w:rPr>
        <w:t>z alábbi vizsgálatokat tartalmazta:</w:t>
      </w:r>
    </w:p>
    <w:p w14:paraId="6A97F8B2" w14:textId="5C62D34F" w:rsidR="009066C1" w:rsidRDefault="009066C1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6"/>
        <w:gridCol w:w="3367"/>
        <w:gridCol w:w="3686"/>
        <w:gridCol w:w="2097"/>
      </w:tblGrid>
      <w:tr w:rsidR="00847136" w14:paraId="69D83F1E" w14:textId="77777777" w:rsidTr="00764484">
        <w:trPr>
          <w:trHeight w:val="27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2E39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A19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ellenőrzött szerv, illetve szervezeti egység megnevezése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FF4E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tárgya (címe)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4573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státusza</w:t>
            </w:r>
          </w:p>
        </w:tc>
      </w:tr>
      <w:tr w:rsidR="00847136" w14:paraId="6ED733AF" w14:textId="77777777" w:rsidTr="00764484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42C8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72D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DEFE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8159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136" w14:paraId="6F46F44B" w14:textId="77777777" w:rsidTr="00764484">
        <w:trPr>
          <w:trHeight w:val="97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6A042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EDC2B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Hivatala Közgazdasági és Adó Osztály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F71" w14:textId="74DC0BCB" w:rsidR="00847136" w:rsidRDefault="00DD1E43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h</w:t>
            </w:r>
            <w:r w:rsidR="00847136">
              <w:rPr>
                <w:rFonts w:asciiTheme="minorHAnsi" w:hAnsiTheme="minorHAnsi" w:cstheme="minorHAnsi"/>
                <w:sz w:val="22"/>
                <w:szCs w:val="22"/>
              </w:rPr>
              <w:t xml:space="preserve">elyi iparűzési adóval kapcsolatos tevékenység </w:t>
            </w:r>
            <w:r w:rsidR="00230646">
              <w:rPr>
                <w:rFonts w:asciiTheme="minorHAnsi" w:hAnsiTheme="minorHAnsi" w:cstheme="minorHAnsi"/>
                <w:sz w:val="22"/>
                <w:szCs w:val="22"/>
              </w:rPr>
              <w:t xml:space="preserve">szabályozottságának és gyakorlatának </w:t>
            </w:r>
            <w:r w:rsidR="00847136">
              <w:rPr>
                <w:rFonts w:asciiTheme="minorHAnsi" w:hAnsiTheme="minorHAnsi" w:cstheme="minorHAnsi"/>
                <w:sz w:val="22"/>
                <w:szCs w:val="22"/>
              </w:rPr>
              <w:t>vizsgálata</w:t>
            </w:r>
            <w:r w:rsidR="002F1C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E961" w14:textId="77777777" w:rsidR="00847136" w:rsidRDefault="00847136" w:rsidP="007644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7AC8C09F" w14:textId="77777777" w:rsidTr="00764484">
        <w:trPr>
          <w:trHeight w:val="97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DB15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7597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Horvát Nemzetiségi Önkormányzat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0E34" w14:textId="5F485FC9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 kialakításának és működtetésének ellenőrzése.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0AD66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4BBDA0E4" w14:textId="77777777" w:rsidTr="00764484">
        <w:trPr>
          <w:trHeight w:val="97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2982A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40C6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 Megyei Jogú Város Német Önkormányzata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CAA4" w14:textId="7B640383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 kialakításának és működtetésének ellenőrzése.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BD6D5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150BE62C" w14:textId="77777777" w:rsidTr="00764484">
        <w:trPr>
          <w:trHeight w:val="96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219E1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7986A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 Megyei Jogú Város Roma Nemzetiségi Önkormányzat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05E2" w14:textId="3FAC77E5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 kialakításának és működtetésének ellenőrzése.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16DBE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05489518" w14:textId="77777777" w:rsidTr="00764484">
        <w:trPr>
          <w:trHeight w:val="96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9D8CA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76B4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</w:t>
            </w:r>
          </w:p>
          <w:p w14:paraId="582CAF81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Önkormányzat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D914" w14:textId="155E8386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 kialakításának és működtetésének ellenőrzése.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BFB7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BB5AAC" w14:paraId="29DA5D2E" w14:textId="77777777" w:rsidTr="00764484">
        <w:trPr>
          <w:trHeight w:val="97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C6361" w14:textId="77777777" w:rsidR="00BB5AAC" w:rsidRDefault="00BB5AAC" w:rsidP="00BB5A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9C7" w14:textId="77777777" w:rsidR="00BB5AAC" w:rsidRDefault="00BB5AAC" w:rsidP="00BB5A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 Megyei Jogú Város Polgármesteri Hivatala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0375" w14:textId="19C42E8D" w:rsidR="00BB5AAC" w:rsidRDefault="00BB5AAC" w:rsidP="00BB5A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vizsgálata.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36304" w14:textId="77777777" w:rsidR="00BB5AAC" w:rsidRDefault="00BB5AAC" w:rsidP="00BB5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4EB1B3CF" w14:textId="77777777" w:rsidTr="00764484">
        <w:trPr>
          <w:trHeight w:val="97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5878D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FDE5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 Megyei Jogú Város Polgármesteri Hivatala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395" w14:textId="7DDDCE1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pályázati források elszámolásának ellenőrzése - Szombathely, Tószer téri sportpálya.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6095B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478C3C99" w14:textId="77777777" w:rsidTr="00764484">
        <w:trPr>
          <w:trHeight w:val="96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BFE8B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505" w14:textId="77777777" w:rsidR="002F1C23" w:rsidRPr="005C0712" w:rsidRDefault="002F1C23" w:rsidP="002F1C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>FÉHE Nonprofit Kft.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CEF8" w14:textId="5326569F" w:rsidR="002F1C23" w:rsidRPr="005C0712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 xml:space="preserve">A pénzkezelési tevékenység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szabályozottságának és gyakorlatának </w:t>
            </w: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>vizsgálata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8FC1A" w14:textId="77777777" w:rsidR="002F1C23" w:rsidRPr="005C0712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67DA09EC" w14:textId="77777777" w:rsidTr="00764484">
        <w:trPr>
          <w:trHeight w:val="96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D9A89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E7B9F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SZOVA Nonprofit Zrt.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449" w14:textId="00D5EBFB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 xml:space="preserve">A pénzkezelési tevékenység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szabályozottságának és gyakorlatának </w:t>
            </w: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>vizsgálata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33FF9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2F1C23" w14:paraId="3FAC5193" w14:textId="77777777" w:rsidTr="00764484">
        <w:trPr>
          <w:trHeight w:val="96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B941A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D7C77" w14:textId="77777777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Sportközpont és Sportiskola Nonprofit Kft.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4F6" w14:textId="29CAA3F9" w:rsidR="002F1C23" w:rsidRDefault="002F1C23" w:rsidP="002F1C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 xml:space="preserve">A pénzkezelési tevékenység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szabályozottságának és gyakorlatának </w:t>
            </w:r>
            <w:r w:rsidRPr="005C0712">
              <w:rPr>
                <w:rFonts w:asciiTheme="minorHAnsi" w:hAnsiTheme="minorHAnsi" w:cstheme="minorHAnsi"/>
                <w:sz w:val="22"/>
                <w:szCs w:val="22"/>
              </w:rPr>
              <w:t>vizsgálata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E223" w14:textId="77777777" w:rsidR="002F1C23" w:rsidRDefault="002F1C23" w:rsidP="002F1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</w:tbl>
    <w:p w14:paraId="0D02F25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31E7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0BD3A" w14:textId="77AD23A4" w:rsidR="00CE19F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Önkormányzata költségvetési intézményeinek 202</w:t>
      </w:r>
      <w:r w:rsidR="00847136">
        <w:rPr>
          <w:rFonts w:asciiTheme="minorHAnsi" w:hAnsiTheme="minorHAnsi" w:cstheme="minorHAnsi"/>
          <w:sz w:val="22"/>
          <w:szCs w:val="22"/>
        </w:rPr>
        <w:t>4</w:t>
      </w:r>
      <w:r w:rsidRPr="00CE19FD">
        <w:rPr>
          <w:rFonts w:asciiTheme="minorHAnsi" w:hAnsiTheme="minorHAnsi" w:cstheme="minorHAnsi"/>
          <w:sz w:val="22"/>
          <w:szCs w:val="22"/>
        </w:rPr>
        <w:t>. évi fe</w:t>
      </w:r>
      <w:r>
        <w:rPr>
          <w:rFonts w:asciiTheme="minorHAnsi" w:hAnsiTheme="minorHAnsi" w:cstheme="minorHAnsi"/>
          <w:sz w:val="22"/>
          <w:szCs w:val="22"/>
        </w:rPr>
        <w:t>nntartó általi ellenőrzési terve</w:t>
      </w:r>
      <w:r w:rsidR="00CE19FD" w:rsidRPr="00CE19FD">
        <w:rPr>
          <w:rFonts w:asciiTheme="minorHAnsi" w:hAnsiTheme="minorHAnsi" w:cstheme="minorHAnsi"/>
          <w:sz w:val="22"/>
          <w:szCs w:val="22"/>
        </w:rPr>
        <w:t xml:space="preserve"> az alábbi vizsgálatokat tartalmazta:</w:t>
      </w:r>
    </w:p>
    <w:p w14:paraId="780B2C23" w14:textId="09895609" w:rsidR="00976133" w:rsidRDefault="00976133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6890F1" w14:textId="4D4C0414" w:rsidR="008948BB" w:rsidRDefault="008948BB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10"/>
        <w:gridCol w:w="3363"/>
        <w:gridCol w:w="3686"/>
        <w:gridCol w:w="2097"/>
      </w:tblGrid>
      <w:tr w:rsidR="00847136" w14:paraId="0B28EEC3" w14:textId="77777777" w:rsidTr="00764484">
        <w:trPr>
          <w:trHeight w:val="276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3DB1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DA3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ellenőrzött szerv, illetve szervezeti egység megnevezése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B36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tárgya (címe)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0058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státusza</w:t>
            </w:r>
          </w:p>
        </w:tc>
      </w:tr>
      <w:tr w:rsidR="00847136" w14:paraId="770BB46A" w14:textId="77777777" w:rsidTr="00764484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A8F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C0DF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B72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E57C" w14:textId="77777777" w:rsidR="00847136" w:rsidRDefault="00847136" w:rsidP="007644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136" w14:paraId="73347217" w14:textId="77777777" w:rsidTr="00764484">
        <w:trPr>
          <w:trHeight w:val="130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535C7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CE318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Pálos Károly Szociális Szolgáltató Központ és Gyermekjóléti Szolgálat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D45B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2020-2022. gazdasági évekre vonatkozó költségvetési gazdálkodás szabályszerűségének vizsgálata.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F6939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847136" w14:paraId="216E9E1A" w14:textId="77777777" w:rsidTr="00764484">
        <w:trPr>
          <w:trHeight w:val="130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9DA03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D7018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Múzeum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BBE" w14:textId="39D27380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2021-2023</w:t>
            </w:r>
            <w:r w:rsidR="007070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gazdasági évekre vonatkozó költségvetési gazdálkodás szabályszerűségének vizsgálata</w:t>
            </w:r>
            <w:r w:rsidR="00DD14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F0564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847136" w14:paraId="47FC78C1" w14:textId="77777777" w:rsidTr="00764484">
        <w:trPr>
          <w:trHeight w:val="10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41DF1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7FDE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 Egyesített Bölcsődei </w:t>
            </w:r>
          </w:p>
          <w:p w14:paraId="2D4F2EE8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Intézmény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A27" w14:textId="59A5CAFE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2021-2023</w:t>
            </w:r>
            <w:r w:rsidR="007070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gazdasági évekre vonatkozó költségvetési gazdálkodás szabályszerűségének vizsgálata.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4AC22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847136" w14:paraId="199ACE2E" w14:textId="77777777" w:rsidTr="00764484">
        <w:trPr>
          <w:trHeight w:val="9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16D3D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8278538"/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890EF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Szimfonikus Zenekar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D725" w14:textId="486955C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2021-2023</w:t>
            </w:r>
            <w:r w:rsidR="007070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gazdasági évekre vonatkozó költségvetési gazdálkodás szabályszerűségének vizsgálata</w:t>
            </w:r>
            <w:r w:rsidR="008C78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69ABC" w14:textId="77777777" w:rsidR="00847136" w:rsidRDefault="00847136" w:rsidP="0076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bookmarkEnd w:id="0"/>
    </w:tbl>
    <w:p w14:paraId="63CFAB70" w14:textId="77777777" w:rsidR="00847136" w:rsidRDefault="00847136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B2059" w14:textId="77777777" w:rsidR="00847136" w:rsidRDefault="00847136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CAE7E" w14:textId="77777777" w:rsidR="00847136" w:rsidRDefault="00847136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86B6C" w14:textId="77777777" w:rsidR="00710D1D" w:rsidRDefault="00710D1D" w:rsidP="00710D1D">
      <w:pPr>
        <w:tabs>
          <w:tab w:val="left" w:pos="79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26645" w14:textId="0C0C9587" w:rsidR="00CE19FD" w:rsidRPr="00CE19FD" w:rsidRDefault="00710D1D" w:rsidP="008C780E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202</w:t>
      </w:r>
      <w:r w:rsidR="008C780E">
        <w:rPr>
          <w:rFonts w:asciiTheme="minorHAnsi" w:hAnsiTheme="minorHAnsi" w:cstheme="minorHAnsi"/>
          <w:sz w:val="22"/>
          <w:szCs w:val="22"/>
        </w:rPr>
        <w:t>4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évben </w:t>
      </w:r>
      <w:r>
        <w:rPr>
          <w:rFonts w:asciiTheme="minorHAnsi" w:hAnsiTheme="minorHAnsi" w:cstheme="minorHAnsi"/>
          <w:sz w:val="22"/>
          <w:szCs w:val="22"/>
        </w:rPr>
        <w:t>az önkormányzat</w:t>
      </w:r>
      <w:r w:rsidRPr="00CE19FD">
        <w:rPr>
          <w:rFonts w:asciiTheme="minorHAnsi" w:hAnsiTheme="minorHAnsi" w:cstheme="minorHAnsi"/>
          <w:sz w:val="22"/>
          <w:szCs w:val="22"/>
        </w:rPr>
        <w:t xml:space="preserve"> belső ellenőrzési tervének, valamint </w:t>
      </w:r>
      <w:r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CE19FD">
        <w:rPr>
          <w:rFonts w:asciiTheme="minorHAnsi" w:hAnsiTheme="minorHAnsi" w:cstheme="minorHAnsi"/>
          <w:sz w:val="22"/>
          <w:szCs w:val="22"/>
        </w:rPr>
        <w:t xml:space="preserve">által alapított és fenntartott intézményekre vonatkozó felügyeleti ellenőrzési terv ütemezésének megfelelően valamennyi vizsgálat lefolytatásra került.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19FD" w:rsidRPr="00CE19FD">
        <w:rPr>
          <w:rFonts w:asciiTheme="minorHAnsi" w:hAnsiTheme="minorHAnsi" w:cstheme="minorHAnsi"/>
          <w:sz w:val="22"/>
          <w:szCs w:val="22"/>
        </w:rPr>
        <w:t>oron kívüli vizsgálat nem volt, így a soron kívüli kapacitás terhére betervezett „</w:t>
      </w:r>
      <w:r w:rsidR="008C780E">
        <w:rPr>
          <w:rFonts w:asciiTheme="minorHAnsi" w:hAnsiTheme="minorHAnsi" w:cstheme="minorHAnsi"/>
          <w:sz w:val="22"/>
          <w:szCs w:val="22"/>
        </w:rPr>
        <w:t>A 2021-2023</w:t>
      </w:r>
      <w:r w:rsidR="007070BC">
        <w:rPr>
          <w:rFonts w:asciiTheme="minorHAnsi" w:hAnsiTheme="minorHAnsi" w:cstheme="minorHAnsi"/>
          <w:sz w:val="22"/>
          <w:szCs w:val="22"/>
        </w:rPr>
        <w:t>.</w:t>
      </w:r>
      <w:r w:rsidR="008C780E">
        <w:rPr>
          <w:rFonts w:asciiTheme="minorHAnsi" w:hAnsiTheme="minorHAnsi" w:cstheme="minorHAnsi"/>
          <w:sz w:val="22"/>
          <w:szCs w:val="22"/>
        </w:rPr>
        <w:t xml:space="preserve"> gazdasági évekre vonatkozó költségvetési gazdálkodás szabályszerűségének</w:t>
      </w:r>
      <w:r w:rsidR="00DE552A">
        <w:rPr>
          <w:rFonts w:asciiTheme="minorHAnsi" w:hAnsiTheme="minorHAnsi" w:cstheme="minorHAnsi"/>
          <w:sz w:val="22"/>
          <w:szCs w:val="22"/>
        </w:rPr>
        <w:t xml:space="preserve"> </w:t>
      </w:r>
      <w:r w:rsidR="00B93F65">
        <w:rPr>
          <w:rFonts w:asciiTheme="minorHAnsi" w:hAnsiTheme="minorHAnsi" w:cstheme="minorHAnsi"/>
          <w:sz w:val="22"/>
          <w:szCs w:val="22"/>
        </w:rPr>
        <w:t xml:space="preserve">vizsgálata a </w:t>
      </w:r>
      <w:r w:rsidR="00DE552A">
        <w:rPr>
          <w:rFonts w:asciiTheme="minorHAnsi" w:hAnsiTheme="minorHAnsi" w:cstheme="minorHAnsi"/>
          <w:sz w:val="22"/>
          <w:szCs w:val="22"/>
        </w:rPr>
        <w:t>S</w:t>
      </w:r>
      <w:r w:rsidR="008C780E">
        <w:rPr>
          <w:rFonts w:asciiTheme="minorHAnsi" w:hAnsiTheme="minorHAnsi" w:cstheme="minorHAnsi"/>
          <w:sz w:val="22"/>
          <w:szCs w:val="22"/>
        </w:rPr>
        <w:t>avaria Szimfonikus Zenekarnál</w:t>
      </w:r>
      <w:r w:rsidR="00CE19FD" w:rsidRPr="00CE19FD">
        <w:rPr>
          <w:rFonts w:asciiTheme="minorHAnsi" w:hAnsiTheme="minorHAnsi" w:cstheme="minorHAnsi"/>
          <w:sz w:val="22"/>
          <w:szCs w:val="22"/>
        </w:rPr>
        <w:t xml:space="preserve">” című ellenőrzésre is sor került. </w:t>
      </w:r>
    </w:p>
    <w:p w14:paraId="69FA56CE" w14:textId="77777777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105E5" w14:textId="77777777" w:rsidR="00B93F65" w:rsidRPr="00CE19FD" w:rsidRDefault="00B93F65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C6A5D" w14:textId="7F50B635" w:rsidR="00CE19FD" w:rsidRPr="00CE19FD" w:rsidRDefault="00CE19FD" w:rsidP="00C9521D">
      <w:pPr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sz w:val="22"/>
          <w:szCs w:val="22"/>
        </w:rPr>
        <w:lastRenderedPageBreak/>
        <w:t xml:space="preserve">           </w:t>
      </w:r>
      <w:r w:rsidRPr="00CE19FD">
        <w:rPr>
          <w:rFonts w:asciiTheme="minorHAnsi" w:hAnsiTheme="minorHAnsi" w:cstheme="minorHAnsi"/>
          <w:b/>
          <w:sz w:val="22"/>
          <w:szCs w:val="22"/>
        </w:rPr>
        <w:t xml:space="preserve">I.1. b) </w:t>
      </w: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Az ellenőrzések során büntető-, szabálysértési, kártérítési, illetve fegyelmi eljárás megindítására okot adó cselekmény, mulasztás vagy hiányosság gyanúja kapcsán tett jelentések száma és rövid összefoglalása:</w:t>
      </w:r>
    </w:p>
    <w:p w14:paraId="7B096FA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A302FC" w14:textId="217D2D0E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202</w:t>
      </w:r>
      <w:r w:rsidR="008C780E">
        <w:rPr>
          <w:rFonts w:asciiTheme="minorHAnsi" w:hAnsiTheme="minorHAnsi" w:cstheme="minorHAnsi"/>
          <w:sz w:val="22"/>
          <w:szCs w:val="22"/>
        </w:rPr>
        <w:t>4</w:t>
      </w:r>
      <w:r w:rsidRPr="00CE19FD">
        <w:rPr>
          <w:rFonts w:asciiTheme="minorHAnsi" w:hAnsiTheme="minorHAnsi" w:cstheme="minorHAnsi"/>
          <w:sz w:val="22"/>
          <w:szCs w:val="22"/>
        </w:rPr>
        <w:t>. évben végzett ellenőrzések során büntető-, szabálysértési, kártérítési, illetve fegyelmi eljárás megindítására nem került sor.</w:t>
      </w:r>
    </w:p>
    <w:p w14:paraId="7228061D" w14:textId="77777777" w:rsidR="00AC2163" w:rsidRDefault="00AC2163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64721" w14:textId="3F9A0F8F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07E55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bizonyosságot adó tevékenységet elősegítő és akadályozó tényezők bemutatása</w:t>
      </w:r>
    </w:p>
    <w:p w14:paraId="4FEB4C8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E3EC74" w14:textId="4758629E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Polgármesteri Hivatalban a Belső Ellenőrzési Iroda, mint önálló, független szervezeti egység működött a tárgyévben. Az iroda dolgozói lefolytatták az ellenőrzési tervben foglalt</w:t>
      </w:r>
      <w:r w:rsidR="00F6414F">
        <w:rPr>
          <w:rFonts w:asciiTheme="minorHAnsi" w:hAnsiTheme="minorHAnsi" w:cstheme="minorHAnsi"/>
          <w:bCs/>
          <w:sz w:val="22"/>
          <w:szCs w:val="22"/>
        </w:rPr>
        <w:t xml:space="preserve"> vizsgálatokat</w:t>
      </w:r>
      <w:r w:rsidRPr="00CE19FD">
        <w:rPr>
          <w:rFonts w:asciiTheme="minorHAnsi" w:hAnsiTheme="minorHAnsi" w:cstheme="minorHAnsi"/>
          <w:bCs/>
          <w:sz w:val="22"/>
          <w:szCs w:val="22"/>
        </w:rPr>
        <w:t>. A rendelkezésre álló tárgyi és személyi feltételek biztosították a megfelelő munkavégzést. Az ellenőrzött területen dolgozók minden esetben segítették az ellenőrök munkáját. A belső ellenőrzési vezető a Bkr.   42. § (1) bekezdése szerint minden esetben megküldte a jelentés tervezetét az ellenőrzött szerv, illetve szervezeti egység vezetőjének. A</w:t>
      </w:r>
      <w:r w:rsidR="00ED5614">
        <w:rPr>
          <w:rFonts w:asciiTheme="minorHAnsi" w:hAnsiTheme="minorHAnsi" w:cstheme="minorHAnsi"/>
          <w:bCs/>
          <w:sz w:val="22"/>
          <w:szCs w:val="22"/>
        </w:rPr>
        <w:t>z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ellenőrzött szerv</w:t>
      </w:r>
      <w:r w:rsidR="0043343E">
        <w:rPr>
          <w:rFonts w:asciiTheme="minorHAnsi" w:hAnsiTheme="minorHAnsi" w:cstheme="minorHAnsi"/>
          <w:bCs/>
          <w:sz w:val="22"/>
          <w:szCs w:val="22"/>
        </w:rPr>
        <w:t>ek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vezető</w:t>
      </w:r>
      <w:r w:rsidR="0043343E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CD48BE">
        <w:rPr>
          <w:rFonts w:asciiTheme="minorHAnsi" w:hAnsiTheme="minorHAnsi" w:cstheme="minorHAnsi"/>
          <w:bCs/>
          <w:sz w:val="22"/>
          <w:szCs w:val="22"/>
        </w:rPr>
        <w:t xml:space="preserve">a jelentéstervezet megállapításai tekintetében </w:t>
      </w:r>
      <w:r w:rsidR="00CD48BE" w:rsidRPr="00CE19FD">
        <w:rPr>
          <w:rFonts w:asciiTheme="minorHAnsi" w:hAnsiTheme="minorHAnsi" w:cstheme="minorHAnsi"/>
          <w:bCs/>
          <w:sz w:val="22"/>
          <w:szCs w:val="22"/>
        </w:rPr>
        <w:t xml:space="preserve">írásos észrevételt </w:t>
      </w:r>
      <w:r w:rsidR="0043343E">
        <w:rPr>
          <w:rFonts w:asciiTheme="minorHAnsi" w:hAnsiTheme="minorHAnsi" w:cstheme="minorHAnsi"/>
          <w:bCs/>
          <w:sz w:val="22"/>
          <w:szCs w:val="22"/>
        </w:rPr>
        <w:t>nem tettek, e</w:t>
      </w:r>
      <w:r w:rsidRPr="00CE19FD">
        <w:rPr>
          <w:rFonts w:asciiTheme="minorHAnsi" w:hAnsiTheme="minorHAnsi" w:cstheme="minorHAnsi"/>
          <w:bCs/>
          <w:sz w:val="22"/>
          <w:szCs w:val="22"/>
        </w:rPr>
        <w:t>gyeztető megbeszélést nem kezdeményeztek.</w:t>
      </w:r>
    </w:p>
    <w:p w14:paraId="12F2D8F6" w14:textId="23784A1D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7A1F6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35137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ellenőrzési egység humánerőforrás-ellátottsága:</w:t>
      </w:r>
    </w:p>
    <w:p w14:paraId="591F778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A74D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A1A91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Ellenőrzési Iroda létszáma 3 fő, 2 fő belső ellenőr és az irodavezető látja el a feladatokat. </w:t>
      </w:r>
    </w:p>
    <w:p w14:paraId="3CE16FD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640ADF" w14:textId="2569B6B2" w:rsidR="00CD48BE" w:rsidRPr="00CE19FD" w:rsidRDefault="00CD48BE" w:rsidP="00CD48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ellenőrök szakmai képzettsége és szakmai gyakorlata megfelel a </w:t>
      </w:r>
      <w:r w:rsidRPr="00CE19FD">
        <w:rPr>
          <w:rStyle w:val="Kiemels"/>
          <w:rFonts w:asciiTheme="minorHAnsi" w:hAnsiTheme="minorHAnsi" w:cstheme="minorHAnsi"/>
          <w:sz w:val="22"/>
          <w:szCs w:val="22"/>
          <w:shd w:val="clear" w:color="auto" w:fill="FFFFFF"/>
        </w:rPr>
        <w:t>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22/2019. (XII. 23.) PM rendelet</w:t>
      </w:r>
      <w:r w:rsidRPr="00CE19FD">
        <w:rPr>
          <w:rFonts w:asciiTheme="minorHAnsi" w:hAnsiTheme="minorHAnsi" w:cstheme="minorHAnsi"/>
          <w:bCs/>
          <w:sz w:val="22"/>
          <w:szCs w:val="22"/>
        </w:rPr>
        <w:t>ben foglaltaknak. A belső ellenőrök rendelkeznek belső ellenőri regisztrációval, a 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esedékes kötelező szakmai továbbképzésen részt vettek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920D3">
        <w:rPr>
          <w:rFonts w:asciiTheme="minorHAnsi" w:hAnsiTheme="minorHAnsi" w:cstheme="minorHAnsi"/>
          <w:bCs/>
          <w:sz w:val="22"/>
          <w:szCs w:val="22"/>
        </w:rPr>
        <w:t>a továbbképzést kétévente kell teljesíteni, így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8920D3">
        <w:rPr>
          <w:rFonts w:asciiTheme="minorHAnsi" w:hAnsiTheme="minorHAnsi" w:cstheme="minorHAnsi"/>
          <w:bCs/>
          <w:sz w:val="22"/>
          <w:szCs w:val="22"/>
        </w:rPr>
        <w:t>. évben nem volt képzési kötelezettség</w:t>
      </w:r>
      <w:r>
        <w:rPr>
          <w:rFonts w:ascii="Arial" w:hAnsi="Arial" w:cs="Arial"/>
          <w:bCs/>
        </w:rPr>
        <w:t>.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Az iroda dolgozói teljesítették továbbá a közszolgálatban dolgozók részére központilag szervezett szakmai továbbképzés keretein belül a meghatározott képzéseket.</w:t>
      </w:r>
    </w:p>
    <w:p w14:paraId="0F1BE0F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2C56A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ellenőrzési egység és a belső ellenőrök szervezeti és funkcionális függetlenségének biztosítása:</w:t>
      </w:r>
    </w:p>
    <w:p w14:paraId="08AC513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59A4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Szombathely Megyei Jogú Város Polgármesteri Hivatalában a Belső Ellenőrzési Iroda tevékenységét a jegyzőnek közvetlenül alárendelve végzi, jelentéseit közvetlenül neki küldi meg. A belső ellenőrök funkcionális függetlensége biztosított, a szervezet operatív működésével kapcsolatos tevékenységek ellátásában nem vettek részt. </w:t>
      </w:r>
    </w:p>
    <w:p w14:paraId="32EC7F1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D390E2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Összeférhetetlenségi esetek:</w:t>
      </w:r>
    </w:p>
    <w:p w14:paraId="106A028D" w14:textId="77777777" w:rsidR="00CE19FD" w:rsidRPr="00CE19FD" w:rsidRDefault="00CE19FD" w:rsidP="00CE19FD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F0838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tárgyévben olyan eset nem fordult elő, amellyel kapcsolatban felmerült volna az összeférhetetlenség gyanúja.</w:t>
      </w:r>
    </w:p>
    <w:p w14:paraId="1EF2EDF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A01CB5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d)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ellenőri jogokkal kapcsolatos esetleges korlátozások bemutatása:</w:t>
      </w:r>
    </w:p>
    <w:p w14:paraId="7B0093A8" w14:textId="6DB014CC" w:rsid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219078" w14:textId="3989DECF" w:rsidR="00EE6D33" w:rsidRPr="00EE6D33" w:rsidRDefault="00EE6D33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6D33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tárgyévben belső ellenőri jogok nem sérültek.</w:t>
      </w:r>
    </w:p>
    <w:p w14:paraId="1A17C38E" w14:textId="77777777" w:rsidR="00EE6D33" w:rsidRPr="00CE19FD" w:rsidRDefault="00EE6D33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2D90B6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e)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 végrehajtását akadályozó tényezők:</w:t>
      </w:r>
    </w:p>
    <w:p w14:paraId="4F15798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4CB20" w14:textId="3EA3193E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Ellenőrzési Irodán 202</w:t>
      </w:r>
      <w:r w:rsidR="00C63667">
        <w:rPr>
          <w:rFonts w:asciiTheme="minorHAnsi" w:hAnsiTheme="minorHAnsi" w:cstheme="minorHAnsi"/>
          <w:bCs/>
          <w:sz w:val="22"/>
          <w:szCs w:val="22"/>
        </w:rPr>
        <w:t>4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eszközellátottság, illetve információellátottság tekintetében hiányosság nem merült fel.</w:t>
      </w:r>
    </w:p>
    <w:p w14:paraId="3551473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26ED58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f)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ellenőrzések nyilvántartása:</w:t>
      </w:r>
    </w:p>
    <w:p w14:paraId="126BF7F4" w14:textId="77777777" w:rsidR="00CE19FD" w:rsidRPr="00CE19FD" w:rsidRDefault="00CE19FD" w:rsidP="00CE19FD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3FAD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Ellenőrzési Iroda – a jogszabályi előírásoknak megfelelően – </w:t>
      </w:r>
      <w:r w:rsidRPr="006E7394">
        <w:rPr>
          <w:rFonts w:asciiTheme="minorHAnsi" w:hAnsiTheme="minorHAnsi" w:cstheme="minorHAnsi"/>
          <w:bCs/>
          <w:sz w:val="22"/>
          <w:szCs w:val="22"/>
        </w:rPr>
        <w:t>nyilvántartást vezet az elvégzett ellenőrzésekről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és gondoskodik az ellenőrzési dokumentumok megőrzéséről. Az ellenőrzési dokumentációk a központi irattárba kerülnek elhelyezésre, az ellenőrzési jelentésben foglaltakat alátámasztó iratmásolatokat, kimutatásokat magába foglaló ellenőrzési mappát a belső ellenőrök őrzik meg. 2019. májusától a külső ellenőrzések nyilvántartása is a Belső</w:t>
      </w:r>
      <w:r w:rsidRPr="00CE19F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Ellenőrzési Irodán történik. </w:t>
      </w:r>
    </w:p>
    <w:p w14:paraId="408B1AF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956DA9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g)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ellenőrzési tevékenység fejlesztésére vonatkozó javaslatok:</w:t>
      </w:r>
    </w:p>
    <w:p w14:paraId="069CCBA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CB428" w14:textId="25B8C974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Az ellenőrzési tevékenység ellátása szempontjából kiemelt cél az ellenőrzési lefedettség növelése. A felügyeleti jellegű intézményi ellenőrzés tekintetében fontos cél, hogy az ellenőrizendő időszak tekintetében biztosítani tudja az </w:t>
      </w:r>
      <w:r w:rsidR="004E597A">
        <w:rPr>
          <w:rFonts w:asciiTheme="minorHAnsi" w:hAnsiTheme="minorHAnsi" w:cstheme="minorHAnsi"/>
          <w:sz w:val="22"/>
          <w:szCs w:val="22"/>
        </w:rPr>
        <w:t>i</w:t>
      </w:r>
      <w:r w:rsidRPr="00CE19FD">
        <w:rPr>
          <w:rFonts w:asciiTheme="minorHAnsi" w:hAnsiTheme="minorHAnsi" w:cstheme="minorHAnsi"/>
          <w:sz w:val="22"/>
          <w:szCs w:val="22"/>
        </w:rPr>
        <w:t>roda a legfeljebb 3 évet átfogó ellenőrzések megvalósítását. Az ellenőrzések gyakorlati tapasztalatai szerint, a 2 évet meghaladó vizsgálati időtartam – az időközben bekövetkezett jogszabályi, szervezeti és egyéb változásokból adódóan – csökkenti az ellenőrzés megállapításainak eredményességét, az intézkedésre tett javaslatok időszerűségét. A Hivatal és az önkormányzat tekintetében pedig kiemelt cél a közepes</w:t>
      </w:r>
      <w:r w:rsidR="00734BA3">
        <w:rPr>
          <w:rFonts w:asciiTheme="minorHAnsi" w:hAnsiTheme="minorHAnsi" w:cstheme="minorHAnsi"/>
          <w:sz w:val="22"/>
          <w:szCs w:val="22"/>
        </w:rPr>
        <w:t>, illetve</w:t>
      </w:r>
      <w:r w:rsidRPr="00CE19FD">
        <w:rPr>
          <w:rFonts w:asciiTheme="minorHAnsi" w:hAnsiTheme="minorHAnsi" w:cstheme="minorHAnsi"/>
          <w:sz w:val="22"/>
          <w:szCs w:val="22"/>
        </w:rPr>
        <w:t xml:space="preserve"> magas kockázatú területek mielőbbi ellenőrzése.</w:t>
      </w:r>
    </w:p>
    <w:p w14:paraId="5BD8461C" w14:textId="5508B3FC" w:rsidR="00CE19FD" w:rsidRDefault="00CE19FD" w:rsidP="006E739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1EC217" w14:textId="77777777" w:rsidR="006E7394" w:rsidRPr="00CE19FD" w:rsidRDefault="006E7394" w:rsidP="006E739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068960" w14:textId="77777777" w:rsidR="00CE19FD" w:rsidRPr="00CE19FD" w:rsidRDefault="00CE19FD" w:rsidP="00CE19FD">
      <w:pPr>
        <w:pStyle w:val="Listaszerbekezd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tanácsadó tevékenység bemutatása</w:t>
      </w:r>
    </w:p>
    <w:p w14:paraId="7CD0DC3F" w14:textId="77777777" w:rsidR="00CE19FD" w:rsidRPr="00CE19FD" w:rsidRDefault="00CE19FD" w:rsidP="00CE19F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9E5BD0" w14:textId="61F10752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 202</w:t>
      </w:r>
      <w:r w:rsidR="00BF6469">
        <w:rPr>
          <w:rFonts w:asciiTheme="minorHAnsi" w:hAnsiTheme="minorHAnsi" w:cstheme="minorHAnsi"/>
          <w:bCs/>
          <w:sz w:val="22"/>
          <w:szCs w:val="22"/>
        </w:rPr>
        <w:t>4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évben tanácsadó feladatokat látott el a belső kontrollrendszer fejlesztése érdekében. </w:t>
      </w:r>
    </w:p>
    <w:p w14:paraId="1D352F61" w14:textId="591B4BC6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A34C80" w14:textId="77777777" w:rsidR="00CE19FD" w:rsidRPr="00CE19FD" w:rsidRDefault="00CE19FD" w:rsidP="00CE19FD">
      <w:pPr>
        <w:pStyle w:val="Listaszerbekezds"/>
        <w:numPr>
          <w:ilvl w:val="0"/>
          <w:numId w:val="11"/>
        </w:numPr>
        <w:ind w:left="284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működésének értékelése ellenőrzési tapasztalatok alapján</w:t>
      </w:r>
    </w:p>
    <w:p w14:paraId="3DEC6A0C" w14:textId="77777777" w:rsidR="00CE19FD" w:rsidRPr="00CE19FD" w:rsidRDefault="00CE19FD" w:rsidP="00CE19FD">
      <w:pPr>
        <w:pStyle w:val="Listaszerbekezds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AD30D1" w14:textId="77777777" w:rsidR="00CE19FD" w:rsidRPr="00CE19FD" w:rsidRDefault="00CE19FD" w:rsidP="00CE19FD">
      <w:pPr>
        <w:ind w:left="-142" w:firstLine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II./1.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szabályszerűségének, gazdaságosságának, hatékonyságának és eredményességének növelése, javítása érdekében tett fontosabb javaslatok</w:t>
      </w:r>
    </w:p>
    <w:p w14:paraId="5C368F5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47E3EB" w14:textId="4748753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Ellenőrzési Iroda 202</w:t>
      </w:r>
      <w:r w:rsidR="00005666">
        <w:rPr>
          <w:rFonts w:asciiTheme="minorHAnsi" w:hAnsiTheme="minorHAnsi" w:cstheme="minorHAnsi"/>
          <w:bCs/>
          <w:sz w:val="22"/>
          <w:szCs w:val="22"/>
        </w:rPr>
        <w:t>4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kiemelt hangsúlyt fektetett az ellenőrzések során a belső kontrollrendszer öt elemének értékelésére. Összességében megállapítható, hogy az ellenőrzött szervezetek belső kontrollrendszerének ki</w:t>
      </w:r>
      <w:r w:rsidR="00BE037B">
        <w:rPr>
          <w:rFonts w:asciiTheme="minorHAnsi" w:hAnsiTheme="minorHAnsi" w:cstheme="minorHAnsi"/>
          <w:bCs/>
          <w:sz w:val="22"/>
          <w:szCs w:val="22"/>
        </w:rPr>
        <w:t>alakítása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és működtetése még nem teljeskörű, ennek javítása érdekében az </w:t>
      </w:r>
      <w:r w:rsidR="00AA1CD9">
        <w:rPr>
          <w:rFonts w:asciiTheme="minorHAnsi" w:hAnsiTheme="minorHAnsi" w:cstheme="minorHAnsi"/>
          <w:bCs/>
          <w:sz w:val="22"/>
          <w:szCs w:val="22"/>
        </w:rPr>
        <w:t>i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roda az egyes ellenőrzési jelentésekben intézkedési javaslatokat fogalmazott meg. A kontrollkörnyezet tekintetében feltétlenül szükséges valamennyi szabályzat elkészítése, azok aktualizálása a helyi gyakorlatnak megfelelően. </w:t>
      </w:r>
      <w:r w:rsidR="003E1044">
        <w:rPr>
          <w:rFonts w:asciiTheme="minorHAnsi" w:hAnsiTheme="minorHAnsi" w:cstheme="minorHAnsi"/>
          <w:bCs/>
          <w:sz w:val="22"/>
          <w:szCs w:val="22"/>
        </w:rPr>
        <w:t>Az integrált 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ockázatkezelési </w:t>
      </w:r>
      <w:r w:rsidR="003E1044">
        <w:rPr>
          <w:rFonts w:asciiTheme="minorHAnsi" w:hAnsiTheme="minorHAnsi" w:cstheme="minorHAnsi"/>
          <w:bCs/>
          <w:sz w:val="22"/>
          <w:szCs w:val="22"/>
        </w:rPr>
        <w:t>rendszert nem minden ellenőrzött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szervezet</w:t>
      </w:r>
      <w:r w:rsidR="003E1044">
        <w:rPr>
          <w:rFonts w:asciiTheme="minorHAnsi" w:hAnsiTheme="minorHAnsi" w:cstheme="minorHAnsi"/>
          <w:bCs/>
          <w:sz w:val="22"/>
          <w:szCs w:val="22"/>
        </w:rPr>
        <w:t xml:space="preserve"> működtette a helyi szabályozásnak megfelelően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 A kontrolltevékenységek keretében az aláírási jogkörök </w:t>
      </w:r>
      <w:r w:rsidR="00441BF5">
        <w:rPr>
          <w:rFonts w:asciiTheme="minorHAnsi" w:hAnsiTheme="minorHAnsi" w:cstheme="minorHAnsi"/>
          <w:bCs/>
          <w:sz w:val="22"/>
          <w:szCs w:val="22"/>
        </w:rPr>
        <w:t xml:space="preserve">kialakítása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nem </w:t>
      </w:r>
      <w:r w:rsidR="00441BF5">
        <w:rPr>
          <w:rFonts w:asciiTheme="minorHAnsi" w:hAnsiTheme="minorHAnsi" w:cstheme="minorHAnsi"/>
          <w:bCs/>
          <w:sz w:val="22"/>
          <w:szCs w:val="22"/>
        </w:rPr>
        <w:t>felelt meg minden esetben a jogszabályi előírásoknak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, ennek kijavítása érdekében intézkedési javaslatokat tett az ellenőrzés. </w:t>
      </w:r>
    </w:p>
    <w:p w14:paraId="3BFF64C5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C9AE76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kontrollrendszer javítása érdekében tett valamennyi intézkedési javaslatot az előterjesztés 5. számú melléklete tartalmazza.  </w:t>
      </w:r>
    </w:p>
    <w:p w14:paraId="0736B6FE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16E4B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524F3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II./2. 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öt elemének értékelése a Polgármesteri Hivatalban</w:t>
      </w:r>
    </w:p>
    <w:p w14:paraId="16B718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2A2C7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F8833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1. Kontrollkörnyezet</w:t>
      </w:r>
    </w:p>
    <w:p w14:paraId="25CE680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1A2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 Polgármesteri Hivatal Szervezeti és Működési Szabályzata és az osztályok ügyrendje részletesen kifejti a szervezeti egységek feladatait. </w:t>
      </w:r>
      <w:r w:rsidRPr="00CE19FD">
        <w:rPr>
          <w:rFonts w:asciiTheme="minorHAnsi" w:hAnsiTheme="minorHAnsi" w:cstheme="minorHAnsi"/>
          <w:bCs/>
          <w:sz w:val="22"/>
          <w:szCs w:val="22"/>
        </w:rPr>
        <w:t>A dolgozók számára lebontott feladatokat, egyéni célokat a munkaköri leírások előírják.</w:t>
      </w:r>
    </w:p>
    <w:p w14:paraId="12EDF71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2CA61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Hivatal belső szabályzatokban rendelkezik a működéshez, gazdálkodáshoz kapcsolódó és pénzügyi kihatással bíró jogszabályokban nem szabályozott kérdések tekintetében. </w:t>
      </w:r>
    </w:p>
    <w:p w14:paraId="21EC827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550AD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Polgármesteri Hivatal köztisztviselőire vonatkozó hivatásetikai alapelveket és az etikai eljárás szabályait a Közszolgálati Szabályzat melléklete tartalmazza. A lefektetett alapelvek a munkatársak és a vezetők számára is meghatározzák, értelmezik az elvárt magatartási és tevékenységi formát.</w:t>
      </w:r>
    </w:p>
    <w:p w14:paraId="1E8D68C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9FE4D" w14:textId="77777777" w:rsidR="00CE19FD" w:rsidRPr="00CE19FD" w:rsidRDefault="00CE19FD" w:rsidP="00CE19FD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19FD">
        <w:rPr>
          <w:rFonts w:asciiTheme="minorHAnsi" w:eastAsia="Calibri" w:hAnsiTheme="minorHAnsi" w:cstheme="minorHAnsi"/>
          <w:sz w:val="22"/>
          <w:szCs w:val="22"/>
        </w:rPr>
        <w:t>A munkatársak kiválasztásával, a munkavégzés rendjével, a munkáltatói jogok gyakorlásával, a díjazással és egyéb juttatásokkal kapcsolatos szabályokat a Polgármesteri Hivatal Közszolgálati, valamint Munkaügyi Szabályzatai tartalmazzák.</w:t>
      </w:r>
    </w:p>
    <w:p w14:paraId="5E9D9F8C" w14:textId="77777777" w:rsidR="00CE19FD" w:rsidRPr="00CE19FD" w:rsidRDefault="00CE19FD" w:rsidP="00CE19FD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FE93F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eastAsia="Calibri" w:hAnsiTheme="minorHAnsi" w:cstheme="minorHAnsi"/>
          <w:sz w:val="22"/>
          <w:szCs w:val="22"/>
        </w:rPr>
        <w:t xml:space="preserve">A szabályzatok és utasítások a Polgármesteri Hivatal </w:t>
      </w:r>
      <w:r w:rsidRPr="00CA1274">
        <w:rPr>
          <w:rFonts w:asciiTheme="minorHAnsi" w:eastAsia="Calibri" w:hAnsiTheme="minorHAnsi" w:cstheme="minorHAnsi"/>
          <w:sz w:val="22"/>
          <w:szCs w:val="22"/>
        </w:rPr>
        <w:t>dokumentumtárában</w:t>
      </w:r>
      <w:r w:rsidRPr="00CE19FD">
        <w:rPr>
          <w:rFonts w:asciiTheme="minorHAnsi" w:eastAsia="Calibri" w:hAnsiTheme="minorHAnsi" w:cstheme="minorHAnsi"/>
          <w:sz w:val="22"/>
          <w:szCs w:val="22"/>
        </w:rPr>
        <w:t xml:space="preserve"> valamennyi munkatárs számára hozzáférhetőek.</w:t>
      </w:r>
    </w:p>
    <w:p w14:paraId="447EC62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8520E2" w14:textId="5A6ABFE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lastRenderedPageBreak/>
        <w:t>A Polgármesteri Hivatalban a működés szempontjából meghatározó tevékenységek eljárási rendjével kapcsolatban meghatározásra</w:t>
      </w:r>
      <w:r w:rsidR="0085464F">
        <w:rPr>
          <w:rFonts w:asciiTheme="minorHAnsi" w:hAnsiTheme="minorHAnsi" w:cstheme="minorHAnsi"/>
          <w:bCs/>
          <w:sz w:val="22"/>
          <w:szCs w:val="22"/>
        </w:rPr>
        <w:t xml:space="preserve"> kerültek a folyamatleírások</w:t>
      </w:r>
      <w:r w:rsidRPr="00CE19FD">
        <w:rPr>
          <w:rFonts w:asciiTheme="minorHAnsi" w:hAnsiTheme="minorHAnsi" w:cstheme="minorHAnsi"/>
          <w:bCs/>
          <w:sz w:val="22"/>
          <w:szCs w:val="22"/>
        </w:rPr>
        <w:t>.</w:t>
      </w:r>
      <w:r w:rsidR="000E6A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4B5FF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Ezzel együtt elkészültek a folyamatok táblázatba foglalt ellenőrzési nyomvonalai. Valamennyi folyamatleírás esetén az adott folyamatért általános felelősséget viselő vezető beosztású személy kijelölése megtörtént. </w:t>
      </w:r>
    </w:p>
    <w:p w14:paraId="3AAD1C63" w14:textId="77777777" w:rsid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022664" w14:textId="77777777" w:rsidR="00980955" w:rsidRPr="00CE19FD" w:rsidRDefault="00980955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26C86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2. Integrált kockázatkezelési rendszer</w:t>
      </w:r>
    </w:p>
    <w:p w14:paraId="261315F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D521B" w14:textId="03BB5241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4DC">
        <w:rPr>
          <w:rFonts w:asciiTheme="minorHAnsi" w:hAnsiTheme="minorHAnsi" w:cstheme="minorHAnsi"/>
          <w:sz w:val="22"/>
          <w:szCs w:val="22"/>
        </w:rPr>
        <w:t xml:space="preserve">A Hivatalban </w:t>
      </w:r>
      <w:r w:rsidRPr="00AF74DC">
        <w:rPr>
          <w:rFonts w:asciiTheme="minorHAnsi" w:hAnsiTheme="minorHAnsi" w:cstheme="minorHAnsi"/>
          <w:bCs/>
          <w:sz w:val="22"/>
          <w:szCs w:val="22"/>
        </w:rPr>
        <w:t>202</w:t>
      </w:r>
      <w:r w:rsidR="00A939DE" w:rsidRPr="00AF74DC">
        <w:rPr>
          <w:rFonts w:asciiTheme="minorHAnsi" w:hAnsiTheme="minorHAnsi" w:cstheme="minorHAnsi"/>
          <w:bCs/>
          <w:sz w:val="22"/>
          <w:szCs w:val="22"/>
        </w:rPr>
        <w:t>4</w:t>
      </w:r>
      <w:r w:rsidRPr="00AF74DC">
        <w:rPr>
          <w:rFonts w:asciiTheme="minorHAnsi" w:hAnsiTheme="minorHAnsi" w:cstheme="minorHAnsi"/>
          <w:bCs/>
          <w:sz w:val="22"/>
          <w:szCs w:val="22"/>
        </w:rPr>
        <w:t>.</w:t>
      </w:r>
      <w:r w:rsidRPr="00AF74DC">
        <w:rPr>
          <w:rFonts w:asciiTheme="minorHAnsi" w:hAnsiTheme="minorHAnsi" w:cstheme="minorHAnsi"/>
          <w:sz w:val="22"/>
          <w:szCs w:val="22"/>
        </w:rPr>
        <w:t xml:space="preserve"> évben megtörtént a kockázati univerzumban meghatározott folyamatok kockázatainak azonosítása, értékelése. Összességében megállapítható, hogy a kockázatok csökkentése érdekében hozott intézkedések és azok végrehajtása eredményesnek bizonyultak</w:t>
      </w:r>
      <w:r w:rsidRPr="00AF74DC">
        <w:rPr>
          <w:rFonts w:asciiTheme="minorHAnsi" w:hAnsiTheme="minorHAnsi" w:cstheme="minorHAnsi"/>
          <w:bCs/>
          <w:sz w:val="22"/>
          <w:szCs w:val="22"/>
        </w:rPr>
        <w:t>.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C83BF4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4F09F3" w14:textId="38113011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Az integrált kockázatkezelési rendszer fejlesztése keretében </w:t>
      </w:r>
      <w:r w:rsidR="00C75125">
        <w:rPr>
          <w:rFonts w:asciiTheme="minorHAnsi" w:hAnsiTheme="minorHAnsi" w:cstheme="minorHAnsi"/>
          <w:bCs/>
          <w:sz w:val="22"/>
          <w:szCs w:val="22"/>
        </w:rPr>
        <w:t>a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kockázati szempontból kritikus területek és tényezők feltárására és nyomon követésére a Polgármesteri Hivatalban kockázati kitettséget jelző mutatószámokat </w:t>
      </w:r>
      <w:r w:rsidR="003457B9">
        <w:rPr>
          <w:rFonts w:asciiTheme="minorHAnsi" w:hAnsiTheme="minorHAnsi" w:cstheme="minorHAnsi"/>
          <w:bCs/>
          <w:sz w:val="22"/>
          <w:szCs w:val="22"/>
        </w:rPr>
        <w:t>alkalmaznak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A kulcs kockázati indikátorok alakulása jelzi a kockázati kitettség változását, szükség esetén lehetőség van a megfelelő intézkedések megtételére. </w:t>
      </w:r>
    </w:p>
    <w:p w14:paraId="043D775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18D438" w14:textId="1E0593D5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3. Kontrolltevékenységek</w:t>
      </w:r>
    </w:p>
    <w:p w14:paraId="6492535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4BDFCF4" w14:textId="6B735E14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4DC">
        <w:rPr>
          <w:rFonts w:asciiTheme="minorHAnsi" w:hAnsiTheme="minorHAnsi" w:cstheme="minorHAnsi"/>
          <w:sz w:val="22"/>
          <w:szCs w:val="22"/>
        </w:rPr>
        <w:t xml:space="preserve">A kontrolltevékenységek jelen vannak a szervezet egészében, annak minden szintjén, különböző gyakorisággal és mélységben. A megelőző kontrollok szigorúan </w:t>
      </w:r>
      <w:r w:rsidR="00E21248" w:rsidRPr="00AF74DC">
        <w:rPr>
          <w:rFonts w:asciiTheme="minorHAnsi" w:hAnsiTheme="minorHAnsi" w:cstheme="minorHAnsi"/>
          <w:sz w:val="22"/>
          <w:szCs w:val="22"/>
        </w:rPr>
        <w:t>szabályozásra kerültek</w:t>
      </w:r>
      <w:r w:rsidRPr="00AF74DC">
        <w:rPr>
          <w:rFonts w:asciiTheme="minorHAnsi" w:hAnsiTheme="minorHAnsi" w:cstheme="minorHAnsi"/>
          <w:sz w:val="22"/>
          <w:szCs w:val="22"/>
        </w:rPr>
        <w:t>. Ilyen a kötelezettségvállalás, ellenjegyzés, teljesítés igazolás és érvényesítés. A feltáró kontrollok a már bekövetkezett hibákat tárják fel, rámutatva a hiba, hiányosság előfordulásának tényén kívül a szervezetre gyakorolt, már bekövetkezett hatásokra is. Ezen a területen a belső ellenőrzés szerepe erősebb</w:t>
      </w:r>
      <w:r w:rsidR="00DD5C98" w:rsidRPr="00AF74DC">
        <w:rPr>
          <w:rFonts w:asciiTheme="minorHAnsi" w:hAnsiTheme="minorHAnsi" w:cstheme="minorHAnsi"/>
          <w:sz w:val="22"/>
          <w:szCs w:val="22"/>
        </w:rPr>
        <w:t>.</w:t>
      </w:r>
      <w:r w:rsidRPr="00AF74DC">
        <w:rPr>
          <w:rFonts w:asciiTheme="minorHAnsi" w:hAnsiTheme="minorHAnsi" w:cstheme="minorHAnsi"/>
          <w:sz w:val="22"/>
          <w:szCs w:val="22"/>
        </w:rPr>
        <w:t xml:space="preserve"> A már bekövetkezett nemkívánatos események kijavítására minden esetben helyrehozó kontrollok szükségesek, amelyek</w:t>
      </w:r>
      <w:r w:rsidR="00DD5C98" w:rsidRPr="00AF74DC">
        <w:rPr>
          <w:rFonts w:asciiTheme="minorHAnsi" w:hAnsiTheme="minorHAnsi" w:cstheme="minorHAnsi"/>
          <w:sz w:val="22"/>
          <w:szCs w:val="22"/>
        </w:rPr>
        <w:t>hez kapcsolódóan</w:t>
      </w:r>
      <w:r w:rsidRPr="00AF74DC">
        <w:rPr>
          <w:rFonts w:asciiTheme="minorHAnsi" w:hAnsiTheme="minorHAnsi" w:cstheme="minorHAnsi"/>
          <w:sz w:val="22"/>
          <w:szCs w:val="22"/>
        </w:rPr>
        <w:t xml:space="preserve"> a belső ellenőrzés javaslatait </w:t>
      </w:r>
      <w:r w:rsidR="00DD5C98" w:rsidRPr="00AF74DC">
        <w:rPr>
          <w:rFonts w:asciiTheme="minorHAnsi" w:hAnsiTheme="minorHAnsi" w:cstheme="minorHAnsi"/>
          <w:sz w:val="22"/>
          <w:szCs w:val="22"/>
        </w:rPr>
        <w:t>megtette</w:t>
      </w:r>
      <w:r w:rsidRPr="00AF74DC">
        <w:rPr>
          <w:rFonts w:asciiTheme="minorHAnsi" w:hAnsiTheme="minorHAnsi" w:cstheme="minorHAnsi"/>
          <w:sz w:val="22"/>
          <w:szCs w:val="22"/>
        </w:rPr>
        <w:t>.</w:t>
      </w:r>
    </w:p>
    <w:p w14:paraId="479DE792" w14:textId="77777777" w:rsid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7451AC" w14:textId="77777777" w:rsidR="00980955" w:rsidRPr="00CE19FD" w:rsidRDefault="00980955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C9981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4. Információ és kommunikáció</w:t>
      </w:r>
    </w:p>
    <w:p w14:paraId="43DC923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6B7767F" w14:textId="37FCD3CD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Általában szabályozott a szervezeten belüli információáramlások útja. Jellemzőek a szóbeli utasítások, szóbeli beszámoltatások, 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valamint az </w:t>
      </w:r>
      <w:r w:rsidRPr="00CE19FD">
        <w:rPr>
          <w:rFonts w:asciiTheme="minorHAnsi" w:hAnsiTheme="minorHAnsi" w:cstheme="minorHAnsi"/>
          <w:bCs/>
          <w:sz w:val="22"/>
          <w:szCs w:val="22"/>
        </w:rPr>
        <w:t>ír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ásbeli információátadások. </w:t>
      </w:r>
      <w:r w:rsidRPr="00CE19FD">
        <w:rPr>
          <w:rFonts w:asciiTheme="minorHAnsi" w:hAnsiTheme="minorHAnsi" w:cstheme="minorHAnsi"/>
          <w:bCs/>
          <w:sz w:val="22"/>
          <w:szCs w:val="22"/>
        </w:rPr>
        <w:t>A vezetői beszámoltatás, az értekezletek kialakított rendszere biztosítja az információáramlást.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 A Polgármesteri Hivatalban működő információs r</w:t>
      </w:r>
      <w:r w:rsidR="0092392A" w:rsidRPr="00CE19FD">
        <w:rPr>
          <w:rFonts w:asciiTheme="minorHAnsi" w:hAnsiTheme="minorHAnsi" w:cstheme="minorHAnsi"/>
          <w:bCs/>
          <w:sz w:val="22"/>
          <w:szCs w:val="22"/>
        </w:rPr>
        <w:t>endszer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 útján a szükséges információk eljutnak az érintett szervezeti egységhez, illetve személyhez.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Az iktatási rendszer minősége, kezelhetősége megfelel a jogszabályi előírásoknak. </w:t>
      </w:r>
      <w:r w:rsidR="00EB197E">
        <w:rPr>
          <w:rFonts w:asciiTheme="minorHAnsi" w:hAnsiTheme="minorHAnsi" w:cstheme="minorHAnsi"/>
          <w:bCs/>
          <w:sz w:val="22"/>
          <w:szCs w:val="22"/>
        </w:rPr>
        <w:t>A Hivatal a naprakész közzétételi kötelezettségének eleget tett.</w:t>
      </w:r>
    </w:p>
    <w:p w14:paraId="6749AB85" w14:textId="77777777" w:rsid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3DAA11" w14:textId="77777777" w:rsidR="00980955" w:rsidRPr="00CE19FD" w:rsidRDefault="00980955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45EEC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5. Nyomon követési rendszer (monitoring)</w:t>
      </w:r>
    </w:p>
    <w:p w14:paraId="65E6EE0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81F40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tevékenységi célok megvalósításának nyomon követését a működési folyamatokba épített mindennapi operatív ellenőrzések biztosítják. A belső ellenőrzések megállapításait, javaslatait a vezetők figyelembe vették, a szükséges intézkedéseket meghozták.</w:t>
      </w:r>
    </w:p>
    <w:p w14:paraId="667CEDF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C2FD9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2020. évben az Állami Számvevőszék elvégezte az összes magyarországi önkormányzat, illetve az önkormányzati hivatalok integritásának, vagyis a korrupció elleni védettségének jelen idejű monitoring értékelését. </w:t>
      </w:r>
    </w:p>
    <w:p w14:paraId="10868AC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6CBB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jelentés szerint Szombathely Megyei Jogú Város Önkormányzata és Hivatala az integritás szempontjából a legeredményesebb, alacsony kockázatú önkormányzatok közé tartozik, ötös osztályzatot kapott.</w:t>
      </w:r>
    </w:p>
    <w:p w14:paraId="1242C42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6C431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55CBC7" w14:textId="77777777" w:rsidR="00CE19FD" w:rsidRPr="00CE19FD" w:rsidRDefault="00CE19FD" w:rsidP="00CE19FD">
      <w:pPr>
        <w:pStyle w:val="Listaszerbekezds"/>
        <w:numPr>
          <w:ilvl w:val="0"/>
          <w:numId w:val="11"/>
        </w:numPr>
        <w:ind w:left="426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intézkedési tervek megvalósítása</w:t>
      </w:r>
    </w:p>
    <w:p w14:paraId="50775AA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C97BBD" w14:textId="77777777" w:rsidR="00EC7BFA" w:rsidRPr="00CA1274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A1274">
        <w:rPr>
          <w:rFonts w:asciiTheme="minorHAnsi" w:hAnsiTheme="minorHAnsi" w:cstheme="minorHAnsi"/>
          <w:bCs/>
          <w:sz w:val="22"/>
          <w:szCs w:val="22"/>
        </w:rPr>
        <w:t xml:space="preserve">A belső ellenőrzés olyan belső nyilvántartási rendszert alkalmaz, amelyben a belső ellenőrzések tapasztalatai hasznosulnak, a megfogalmazott javaslatok és az elkészült intézkedési tervek végrehajtása nyomon követhető. </w:t>
      </w:r>
      <w:r w:rsidRPr="00CA1274">
        <w:rPr>
          <w:rFonts w:asciiTheme="minorHAnsi" w:hAnsiTheme="minorHAnsi" w:cstheme="minorHAnsi"/>
          <w:sz w:val="22"/>
          <w:szCs w:val="22"/>
        </w:rPr>
        <w:t xml:space="preserve">A vizsgálatok lezárását követően az ellenőrzött szervezeti egységek vezetői minden indokolt esetben elkészítették a megállapítások és javaslatok hasznosítására vonatkozó intézkedési tervet, amelynek teljesítéséről az érintett osztályok, szervezetek vezetői tájékoztatták a jegyzőt és a belső ellenőrzési vezetőt. </w:t>
      </w:r>
    </w:p>
    <w:p w14:paraId="018AC4A1" w14:textId="458BAA4B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2FC1">
        <w:rPr>
          <w:rFonts w:asciiTheme="minorHAnsi" w:hAnsiTheme="minorHAnsi" w:cstheme="minorHAnsi"/>
          <w:sz w:val="22"/>
          <w:szCs w:val="22"/>
        </w:rPr>
        <w:lastRenderedPageBreak/>
        <w:t xml:space="preserve">A belső ellenőrzés vizsgálatai során feltárt hiányosságok az intézkedési tervnek megfelelő ütemben javításra, módosításra kerültek. Az intézkedések megvalósulását a </w:t>
      </w:r>
      <w:r w:rsidRPr="00A92FC1">
        <w:rPr>
          <w:rFonts w:asciiTheme="minorHAnsi" w:hAnsiTheme="minorHAnsi" w:cstheme="minorHAnsi"/>
          <w:bCs/>
          <w:sz w:val="22"/>
          <w:szCs w:val="22"/>
        </w:rPr>
        <w:t>4</w:t>
      </w:r>
      <w:r w:rsidR="006E773B" w:rsidRPr="00A92FC1">
        <w:rPr>
          <w:rFonts w:asciiTheme="minorHAnsi" w:hAnsiTheme="minorHAnsi" w:cstheme="minorHAnsi"/>
          <w:bCs/>
          <w:sz w:val="22"/>
          <w:szCs w:val="22"/>
        </w:rPr>
        <w:t>b</w:t>
      </w:r>
      <w:r w:rsidRPr="00A92FC1">
        <w:rPr>
          <w:rFonts w:asciiTheme="minorHAnsi" w:hAnsiTheme="minorHAnsi" w:cstheme="minorHAnsi"/>
          <w:sz w:val="22"/>
          <w:szCs w:val="22"/>
        </w:rPr>
        <w:t xml:space="preserve">. számú melléklet szemlélteti. A </w:t>
      </w:r>
      <w:r w:rsidR="00CA1274" w:rsidRPr="00A92FC1">
        <w:rPr>
          <w:rFonts w:asciiTheme="minorHAnsi" w:hAnsiTheme="minorHAnsi" w:cstheme="minorHAnsi"/>
          <w:bCs/>
          <w:sz w:val="22"/>
          <w:szCs w:val="22"/>
        </w:rPr>
        <w:t>202</w:t>
      </w:r>
      <w:r w:rsidR="00274843" w:rsidRPr="00A92FC1">
        <w:rPr>
          <w:rFonts w:asciiTheme="minorHAnsi" w:hAnsiTheme="minorHAnsi" w:cstheme="minorHAnsi"/>
          <w:bCs/>
          <w:sz w:val="22"/>
          <w:szCs w:val="22"/>
        </w:rPr>
        <w:t>4</w:t>
      </w:r>
      <w:r w:rsidR="00CA1274" w:rsidRPr="00A92FC1">
        <w:rPr>
          <w:rFonts w:asciiTheme="minorHAnsi" w:hAnsiTheme="minorHAnsi" w:cstheme="minorHAnsi"/>
          <w:bCs/>
          <w:sz w:val="22"/>
          <w:szCs w:val="22"/>
        </w:rPr>
        <w:t>.</w:t>
      </w:r>
      <w:r w:rsidR="00CA1274" w:rsidRPr="00A92FC1">
        <w:rPr>
          <w:rFonts w:asciiTheme="minorHAnsi" w:hAnsiTheme="minorHAnsi" w:cstheme="minorHAnsi"/>
          <w:sz w:val="22"/>
          <w:szCs w:val="22"/>
        </w:rPr>
        <w:t xml:space="preserve"> december 31. napjáig vállalt intézkedések maradéktalanul végrehajtásra kerültek</w:t>
      </w:r>
      <w:r w:rsidRPr="00A92FC1">
        <w:rPr>
          <w:rFonts w:asciiTheme="minorHAnsi" w:hAnsiTheme="minorHAnsi" w:cstheme="minorHAnsi"/>
          <w:sz w:val="22"/>
          <w:szCs w:val="22"/>
        </w:rPr>
        <w:t>.</w:t>
      </w:r>
      <w:r w:rsidR="006E773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A5F6A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7C0209" w14:textId="77777777" w:rsidR="00EC7BFA" w:rsidRPr="00CE19FD" w:rsidRDefault="00EC7BFA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D1A787" w14:textId="0ADFC10C" w:rsidR="00CE19FD" w:rsidRPr="00CE19FD" w:rsidRDefault="00CE19FD" w:rsidP="00CE19FD">
      <w:pPr>
        <w:pStyle w:val="Listaszerbekezds"/>
        <w:numPr>
          <w:ilvl w:val="0"/>
          <w:numId w:val="9"/>
        </w:numPr>
        <w:tabs>
          <w:tab w:val="left" w:pos="1032"/>
          <w:tab w:val="center" w:pos="481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Az Önkormányzat által fenntartott költségvetési intézmények 202</w:t>
      </w:r>
      <w:r w:rsidR="00A0198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E19FD">
        <w:rPr>
          <w:rFonts w:asciiTheme="minorHAnsi" w:hAnsiTheme="minorHAnsi" w:cstheme="minorHAnsi"/>
          <w:b/>
          <w:bCs/>
          <w:sz w:val="22"/>
          <w:szCs w:val="22"/>
        </w:rPr>
        <w:t>. évi belső ellenőrzési jelentéseinek jóváhagyása</w:t>
      </w:r>
    </w:p>
    <w:p w14:paraId="0B14C8CD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82362" w14:textId="77777777" w:rsidR="00CE19FD" w:rsidRDefault="00CE19FD" w:rsidP="00C37C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AC4FD" w14:textId="77777777" w:rsidR="00C37C2D" w:rsidRPr="002C613D" w:rsidRDefault="00C37C2D" w:rsidP="00C37C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Bkr. 49.§-a alapján a költségvetési szervek belső ellenőrzési tevékenységükről éves ellenőrzési jelentésben számolnak be.</w:t>
      </w:r>
    </w:p>
    <w:p w14:paraId="3983EE4F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Az éves ellenőrzési jelentés előkészítéséért a belső ellenőrzési vezető felelős. Helyi önkormányzati költségvetési szerv esetén a belső ellenőrzési vezető az éves ellenőrzési jelentést megküldi a polgármesternek, a jegyzőnek, illetve főjegyzőnek a tárgyévet követő év február 15-ig. A Bkr. 49.§ (3a) bekezdése alapján „a jegyző a tárgyévre vonatkozó éves ellenőrzési jelentést, valamint </w:t>
      </w:r>
      <w:r w:rsidRPr="002C613D">
        <w:rPr>
          <w:rFonts w:asciiTheme="minorHAnsi" w:hAnsiTheme="minorHAnsi" w:cstheme="minorHAnsi"/>
          <w:i/>
          <w:sz w:val="22"/>
          <w:szCs w:val="22"/>
        </w:rPr>
        <w:t>a helyi önkormányzat által alapított költségvetési szervek éves ellenőrzési jelentései alapján készített éves összefoglaló ellenőrzési jelentést</w:t>
      </w:r>
      <w:r w:rsidRPr="002C613D">
        <w:rPr>
          <w:rFonts w:asciiTheme="minorHAnsi" w:hAnsiTheme="minorHAnsi" w:cstheme="minorHAnsi"/>
          <w:sz w:val="22"/>
          <w:szCs w:val="22"/>
        </w:rPr>
        <w:t xml:space="preserve"> - a tárgyévet követően, legkésőbb a zárszámadási rendelet elfogadásáig - a </w:t>
      </w:r>
      <w:r w:rsidRPr="002C613D">
        <w:rPr>
          <w:rFonts w:asciiTheme="minorHAnsi" w:hAnsiTheme="minorHAnsi" w:cstheme="minorHAnsi"/>
          <w:b/>
          <w:sz w:val="22"/>
          <w:szCs w:val="22"/>
        </w:rPr>
        <w:t>képviselő-testület elé terjeszti jóváhagyásra”.</w:t>
      </w:r>
    </w:p>
    <w:p w14:paraId="155A22B8" w14:textId="77777777" w:rsidR="00C37C2D" w:rsidRPr="002C613D" w:rsidRDefault="00C37C2D" w:rsidP="00C37C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F2B467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Az államháztartásért felelős miniszter által közzétett módszertani útmutató figyelembevételével elkészített éves ellenőrzési jelentésnek, illetve éves összefoglaló ellenőrzési jelentésnek az alábbiakat kell tartalmaznia:</w:t>
      </w:r>
    </w:p>
    <w:p w14:paraId="22FF98CE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95D1F4" w14:textId="77777777" w:rsidR="00C37C2D" w:rsidRPr="002C613D" w:rsidRDefault="00C37C2D" w:rsidP="00C37C2D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belső ellenőrzés által végzett tevékenység bemutatását önértékelés alapján az alábbiak szerint:</w:t>
      </w:r>
    </w:p>
    <w:p w14:paraId="08A4638C" w14:textId="77777777" w:rsidR="00C37C2D" w:rsidRPr="002C613D" w:rsidRDefault="00C37C2D" w:rsidP="00C37C2D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az éves ellenőrzési tervben foglalt feladatok teljesítésének értékelését;</w:t>
      </w:r>
    </w:p>
    <w:p w14:paraId="258BA689" w14:textId="77777777" w:rsidR="00C37C2D" w:rsidRPr="002C613D" w:rsidRDefault="00C37C2D" w:rsidP="00C37C2D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bizonyosságot adó tevékenységet elősegítő és akadályozó tényezők bemutatását;</w:t>
      </w:r>
    </w:p>
    <w:p w14:paraId="7980A3D7" w14:textId="77777777" w:rsidR="00C37C2D" w:rsidRPr="002C613D" w:rsidRDefault="00C37C2D" w:rsidP="00C37C2D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tanácsadó tevékenység bemutatását;</w:t>
      </w:r>
    </w:p>
    <w:p w14:paraId="571A79A6" w14:textId="77777777" w:rsidR="00C37C2D" w:rsidRPr="002C613D" w:rsidRDefault="00C37C2D" w:rsidP="00C37C2D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B9A99A" w14:textId="77777777" w:rsidR="00C37C2D" w:rsidRPr="006074D1" w:rsidRDefault="00C37C2D" w:rsidP="00C37C2D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074D1">
        <w:rPr>
          <w:rFonts w:asciiTheme="minorHAnsi" w:hAnsiTheme="minorHAnsi" w:cstheme="minorHAnsi"/>
          <w:sz w:val="22"/>
          <w:szCs w:val="22"/>
        </w:rPr>
        <w:t>a belső kontrollrendszer működésének értékelését ellenőrzési tapasztalatok alapján az alábbiak szerint:</w:t>
      </w:r>
    </w:p>
    <w:p w14:paraId="46AC39AF" w14:textId="77777777" w:rsidR="00C37C2D" w:rsidRPr="002C613D" w:rsidRDefault="00C37C2D" w:rsidP="00C37C2D">
      <w:pPr>
        <w:pStyle w:val="Listaszerbekezds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belső kontrollrendszer szabályszerűségének, gazdaságosságának, hatékonyságának és eredményességének növelése, javítása érdekében tett fontosabb javaslatokat;</w:t>
      </w:r>
    </w:p>
    <w:p w14:paraId="582DC604" w14:textId="77777777" w:rsidR="00C37C2D" w:rsidRPr="002C613D" w:rsidRDefault="00C37C2D" w:rsidP="00C37C2D">
      <w:pPr>
        <w:numPr>
          <w:ilvl w:val="1"/>
          <w:numId w:val="18"/>
        </w:numPr>
        <w:autoSpaceDE w:val="0"/>
        <w:autoSpaceDN w:val="0"/>
        <w:adjustRightInd w:val="0"/>
        <w:ind w:left="85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belső kontrollrendszer elemeinek értékelését;</w:t>
      </w:r>
    </w:p>
    <w:p w14:paraId="6F126051" w14:textId="77777777" w:rsidR="00C37C2D" w:rsidRPr="002C613D" w:rsidRDefault="00C37C2D" w:rsidP="00C37C2D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F05ED9A" w14:textId="77777777" w:rsidR="00C37C2D" w:rsidRPr="006074D1" w:rsidRDefault="00C37C2D" w:rsidP="00C37C2D">
      <w:pPr>
        <w:pStyle w:val="Listaszerbekezds"/>
        <w:numPr>
          <w:ilvl w:val="0"/>
          <w:numId w:val="16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074D1">
        <w:rPr>
          <w:rFonts w:asciiTheme="minorHAnsi" w:hAnsiTheme="minorHAnsi" w:cstheme="minorHAnsi"/>
          <w:sz w:val="22"/>
          <w:szCs w:val="22"/>
        </w:rPr>
        <w:t>az intézkedési tervek megvalósítását.</w:t>
      </w:r>
    </w:p>
    <w:p w14:paraId="1178EF43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F874C" w14:textId="77777777" w:rsidR="00C37C2D" w:rsidRPr="002C613D" w:rsidRDefault="00C37C2D" w:rsidP="00C37C2D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Az intézmények ellenőrzési jelentéseiket a Pénzügyminisztérium által kiadott „Útmutató a költségvetési szervek belső kontrollrendszeréről és belső ellenőrzéséről szóló 370/2011. (XII. 31.) Korm. rendelet alapján összeállítandó éves ellenőrzési terv és összefoglaló éves ellenőrzési terv, valamint éves ellenőrzési jelentés és éves összefoglaló ellenőrzési jelentés elkészítéséhez” dokumentumban megadott formátumban és részletezettséggel készítették el. </w:t>
      </w:r>
    </w:p>
    <w:p w14:paraId="22766406" w14:textId="77777777" w:rsidR="00C37C2D" w:rsidRPr="002C613D" w:rsidRDefault="00C37C2D" w:rsidP="00C37C2D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E805DC" w14:textId="77777777" w:rsidR="00C37C2D" w:rsidRPr="002C613D" w:rsidRDefault="00C37C2D" w:rsidP="00C37C2D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Szombathelyi Köznevelési GAMESZ</w:t>
      </w:r>
      <w:r>
        <w:rPr>
          <w:rFonts w:asciiTheme="minorHAnsi" w:hAnsiTheme="minorHAnsi" w:cstheme="minorHAnsi"/>
          <w:sz w:val="22"/>
          <w:szCs w:val="22"/>
        </w:rPr>
        <w:t xml:space="preserve"> (továbbiakban: GAMESZ)</w:t>
      </w:r>
      <w:r w:rsidRPr="002C613D">
        <w:rPr>
          <w:rFonts w:asciiTheme="minorHAnsi" w:hAnsiTheme="minorHAnsi" w:cstheme="minorHAnsi"/>
          <w:sz w:val="22"/>
          <w:szCs w:val="22"/>
        </w:rPr>
        <w:t xml:space="preserve"> ellenőrzési jelentése a GAMESZ és a hozzá rendelt önállóan működő óvodákban, a Szombathelyi Egészségügyi és Kulturális GESZ (a továbbiakban: GESZ) ellenőrzési jelentése a GESZ, valamint </w:t>
      </w:r>
      <w:r w:rsidRPr="002C6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r w:rsidRPr="002C613D">
        <w:rPr>
          <w:rFonts w:asciiTheme="minorHAnsi" w:hAnsiTheme="minorHAnsi" w:cstheme="minorHAnsi"/>
          <w:sz w:val="22"/>
          <w:szCs w:val="22"/>
        </w:rPr>
        <w:t>Áht. 10.§ (4a) bekezdésének rendelkezése alapján hozzá rendelt</w:t>
      </w:r>
      <w:r w:rsidRPr="002C6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Mesebolt Bábszínháznál, Savaria Szimfonikus Zenekarnál, Berzsenyi Dániel Könyvtárnál, Savaria Múzeumnál, valamint a Szombathely Városi Vásárcsarnoknál </w:t>
      </w:r>
      <w:r w:rsidRPr="002C613D">
        <w:rPr>
          <w:rFonts w:asciiTheme="minorHAnsi" w:hAnsiTheme="minorHAnsi" w:cstheme="minorHAnsi"/>
          <w:sz w:val="22"/>
          <w:szCs w:val="22"/>
        </w:rPr>
        <w:t>végzett ellenőrzéseket is tartalmazza.</w:t>
      </w:r>
    </w:p>
    <w:p w14:paraId="0A358DEF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92C877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  <w:r w:rsidRPr="00FD43DD">
        <w:rPr>
          <w:rFonts w:asciiTheme="minorHAnsi" w:hAnsiTheme="minorHAnsi" w:cstheme="minorHAnsi"/>
          <w:sz w:val="22"/>
          <w:szCs w:val="22"/>
        </w:rPr>
        <w:t>2023 decemberében Szombathely Megyei Jogú Város Közgyűlése a 430/2023.(XII.14.) Kgy. sz. határozatában fogadta el az önkormányzat által fenntartott költségvetési intézmények 2024. évre vonatkozó belső ellenőrzési tervét. A tervezett ellenőrzések teljes egészében megvalósultak.</w:t>
      </w:r>
      <w:r w:rsidRPr="002C61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1515F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BA90B" w14:textId="77777777" w:rsidR="00C37C2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B136D8">
        <w:rPr>
          <w:rFonts w:asciiTheme="minorHAnsi" w:hAnsiTheme="minorHAnsi" w:cstheme="minorHAnsi"/>
          <w:sz w:val="22"/>
          <w:szCs w:val="22"/>
        </w:rPr>
        <w:t xml:space="preserve"> GAMESZ esetében a tervezett hét ellenőrzésen felül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B136D8">
        <w:rPr>
          <w:rFonts w:asciiTheme="minorHAnsi" w:hAnsiTheme="minorHAnsi" w:cstheme="minorHAnsi"/>
          <w:sz w:val="22"/>
          <w:szCs w:val="22"/>
        </w:rPr>
        <w:t>az intézmény igazgatójának elrendelése alapján</w:t>
      </w:r>
      <w:r>
        <w:rPr>
          <w:rFonts w:asciiTheme="minorHAnsi" w:hAnsiTheme="minorHAnsi" w:cstheme="minorHAnsi"/>
          <w:sz w:val="22"/>
          <w:szCs w:val="22"/>
        </w:rPr>
        <w:t xml:space="preserve"> - három</w:t>
      </w:r>
      <w:r w:rsidRPr="00B136D8">
        <w:rPr>
          <w:rFonts w:asciiTheme="minorHAnsi" w:hAnsiTheme="minorHAnsi" w:cstheme="minorHAnsi"/>
          <w:sz w:val="22"/>
          <w:szCs w:val="22"/>
        </w:rPr>
        <w:t xml:space="preserve"> alkalommal </w:t>
      </w:r>
      <w:r>
        <w:rPr>
          <w:rFonts w:asciiTheme="minorHAnsi" w:hAnsiTheme="minorHAnsi" w:cstheme="minorHAnsi"/>
          <w:sz w:val="22"/>
          <w:szCs w:val="22"/>
        </w:rPr>
        <w:t xml:space="preserve">az alábbi </w:t>
      </w:r>
      <w:r w:rsidRPr="00B136D8">
        <w:rPr>
          <w:rFonts w:asciiTheme="minorHAnsi" w:hAnsiTheme="minorHAnsi" w:cstheme="minorHAnsi"/>
          <w:sz w:val="22"/>
          <w:szCs w:val="22"/>
        </w:rPr>
        <w:t>soron kívüli ellenőrzésre került sor:</w:t>
      </w:r>
    </w:p>
    <w:p w14:paraId="59D0C477" w14:textId="77777777" w:rsidR="00C37C2D" w:rsidRDefault="00C37C2D" w:rsidP="00C37C2D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</w:t>
      </w:r>
      <w:r w:rsidRPr="00B136D8">
        <w:rPr>
          <w:rFonts w:asciiTheme="minorHAnsi" w:hAnsiTheme="minorHAnsi" w:cstheme="minorHAnsi"/>
          <w:sz w:val="22"/>
          <w:szCs w:val="22"/>
        </w:rPr>
        <w:t xml:space="preserve"> GAMESZ munkavállalói által a saját gépjárművek hivatali célra történő használatakor készített elszámolások szabályozottságának a soron kívül elrendelt vizsgálata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90DEF49" w14:textId="77777777" w:rsidR="00C37C2D" w:rsidRDefault="00C37C2D" w:rsidP="00C37C2D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</w:t>
      </w:r>
      <w:r w:rsidRPr="00B136D8">
        <w:rPr>
          <w:rFonts w:asciiTheme="minorHAnsi" w:hAnsiTheme="minorHAnsi" w:cstheme="minorHAnsi"/>
          <w:sz w:val="22"/>
          <w:szCs w:val="22"/>
        </w:rPr>
        <w:t xml:space="preserve"> GAMESZ munkavállalói részére elkészített és átadott munkaköri leírások soron kívüli vizsgálata</w:t>
      </w:r>
    </w:p>
    <w:p w14:paraId="66A18621" w14:textId="77777777" w:rsidR="00C37C2D" w:rsidRPr="00B136D8" w:rsidRDefault="00C37C2D" w:rsidP="00C37C2D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</w:t>
      </w:r>
      <w:r w:rsidRPr="00B136D8">
        <w:rPr>
          <w:rFonts w:asciiTheme="minorHAnsi" w:hAnsiTheme="minorHAnsi" w:cstheme="minorHAnsi"/>
          <w:sz w:val="22"/>
          <w:szCs w:val="22"/>
        </w:rPr>
        <w:t xml:space="preserve"> GAMESZ raktári anyagkönyvelésesének soron kívüli vizsgálata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A38C2F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45CC00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lastRenderedPageBreak/>
        <w:t xml:space="preserve">A belső ellenőrzések során tett megállapítások valamennyi vizsgálat vonatkozásában átlagosnak, illetve csekély jelentőségűnek minősíthetőek. Azonnali intézkedést igénylő kifogás nem merült fel. </w:t>
      </w:r>
    </w:p>
    <w:p w14:paraId="1EB00F8B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Büntető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2C613D">
        <w:rPr>
          <w:rFonts w:asciiTheme="minorHAnsi" w:hAnsiTheme="minorHAnsi" w:cstheme="minorHAnsi"/>
          <w:sz w:val="22"/>
          <w:szCs w:val="22"/>
        </w:rPr>
        <w:t>, szabálysértési, kártérítési, fegyelmi eljárás megindítására okot adó cselekmény nem volt. A megfogalmazott intézkedési javaslatok részben megvalósultak, részben a megvalósításuk folyamatban van.</w:t>
      </w:r>
    </w:p>
    <w:p w14:paraId="6350FE6B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3D2E2E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Az ellenőrzési jelentésekben foglaltak szerint az ellenőrzések során valamennyi esetben </w:t>
      </w:r>
    </w:p>
    <w:p w14:paraId="0721765A" w14:textId="77777777" w:rsidR="00C37C2D" w:rsidRPr="002C613D" w:rsidRDefault="00C37C2D" w:rsidP="00C37C2D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 humánerőforrás ellátottság, valamint  </w:t>
      </w:r>
    </w:p>
    <w:p w14:paraId="29C613CB" w14:textId="77777777" w:rsidR="00C37C2D" w:rsidRPr="002C613D" w:rsidRDefault="00C37C2D" w:rsidP="00C37C2D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az ellenőrök szervezeti, funkcionális függetlensége biztosított volt, </w:t>
      </w:r>
    </w:p>
    <w:p w14:paraId="2EF215F5" w14:textId="77777777" w:rsidR="00C37C2D" w:rsidRPr="002C613D" w:rsidRDefault="00C37C2D" w:rsidP="00C37C2D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összeférhetetlenségi eset nem volt,</w:t>
      </w:r>
    </w:p>
    <w:p w14:paraId="18412F39" w14:textId="77777777" w:rsidR="00C37C2D" w:rsidRPr="002C613D" w:rsidRDefault="00C37C2D" w:rsidP="00C37C2D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az ellenőri jogokat semmi nem korlátozta, </w:t>
      </w:r>
    </w:p>
    <w:p w14:paraId="17BD61AB" w14:textId="77777777" w:rsidR="00C37C2D" w:rsidRPr="002C613D" w:rsidRDefault="00C37C2D" w:rsidP="00C37C2D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belső ellenőrzés végrehajtását akadályozó tényező nem merült fel,</w:t>
      </w:r>
    </w:p>
    <w:p w14:paraId="5758AD4B" w14:textId="77777777" w:rsidR="00C37C2D" w:rsidRPr="002C613D" w:rsidRDefault="00C37C2D" w:rsidP="00C37C2D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az ellenőrzések nyilvántartása a Bkr.-ben foglaltak szerint megtörtént.                     </w:t>
      </w:r>
    </w:p>
    <w:p w14:paraId="7FFCFDB8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9E7621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269440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Az Önkormányzat által fenntartott költségvetési szervek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C613D">
        <w:rPr>
          <w:rFonts w:asciiTheme="minorHAnsi" w:hAnsiTheme="minorHAnsi" w:cstheme="minorHAnsi"/>
          <w:sz w:val="22"/>
          <w:szCs w:val="22"/>
        </w:rPr>
        <w:t xml:space="preserve">. évre vonatkozó éves ellenőrzési jelentései alapján készített </w:t>
      </w:r>
      <w:r w:rsidRPr="002C613D">
        <w:rPr>
          <w:rFonts w:asciiTheme="minorHAnsi" w:hAnsiTheme="minorHAnsi" w:cstheme="minorHAnsi"/>
          <w:b/>
          <w:sz w:val="22"/>
          <w:szCs w:val="22"/>
        </w:rPr>
        <w:t>éves összefoglaló ellenőrzési jelentés</w:t>
      </w:r>
      <w:r w:rsidRPr="002C613D">
        <w:rPr>
          <w:rFonts w:asciiTheme="minorHAnsi" w:hAnsiTheme="minorHAnsi" w:cstheme="minorHAnsi"/>
          <w:sz w:val="22"/>
          <w:szCs w:val="22"/>
        </w:rPr>
        <w:t xml:space="preserve"> az előterjesztés 6. számú, az intézmények által megküldött éves ellenőrzési jelentések az előterjesztés 7-10. számú mellékletét képezik. </w:t>
      </w:r>
    </w:p>
    <w:p w14:paraId="341220EF" w14:textId="77777777" w:rsidR="00C37C2D" w:rsidRPr="002C613D" w:rsidRDefault="00C37C2D" w:rsidP="00C37C2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68647D1" w14:textId="77777777" w:rsidR="00C37C2D" w:rsidRPr="002C613D" w:rsidRDefault="00C37C2D" w:rsidP="00C37C2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13D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megtárgyalni, és a határozati javaslatot elfogadni szíveskedjék.</w:t>
      </w:r>
    </w:p>
    <w:p w14:paraId="587DF258" w14:textId="77777777" w:rsidR="00C37C2D" w:rsidRPr="002C613D" w:rsidRDefault="00C37C2D" w:rsidP="00C37C2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C6F681" w14:textId="77777777" w:rsidR="00C37C2D" w:rsidRPr="002C613D" w:rsidRDefault="00C37C2D" w:rsidP="00C37C2D">
      <w:pPr>
        <w:pStyle w:val="lfej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13D">
        <w:rPr>
          <w:rFonts w:asciiTheme="minorHAnsi" w:hAnsiTheme="minorHAnsi" w:cstheme="minorHAnsi"/>
          <w:bCs/>
          <w:sz w:val="22"/>
          <w:szCs w:val="22"/>
        </w:rPr>
        <w:t>Szombathely,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2C613D">
        <w:rPr>
          <w:rFonts w:asciiTheme="minorHAnsi" w:hAnsiTheme="minorHAnsi" w:cstheme="minorHAnsi"/>
          <w:bCs/>
          <w:sz w:val="22"/>
          <w:szCs w:val="22"/>
        </w:rPr>
        <w:t>. március „   ”</w:t>
      </w:r>
    </w:p>
    <w:p w14:paraId="55EB9937" w14:textId="77777777" w:rsidR="00C37C2D" w:rsidRPr="002C613D" w:rsidRDefault="00C37C2D" w:rsidP="00C37C2D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1B19D" w14:textId="77777777" w:rsidR="00C37C2D" w:rsidRPr="002C613D" w:rsidRDefault="00C37C2D" w:rsidP="00C37C2D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E7BDB0" w14:textId="77777777" w:rsidR="00C37C2D" w:rsidRPr="002C613D" w:rsidRDefault="00C37C2D" w:rsidP="00C37C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613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>/: Dr. Károlyi Ákos :/</w:t>
      </w:r>
    </w:p>
    <w:p w14:paraId="7564C0C2" w14:textId="77777777" w:rsidR="00C37C2D" w:rsidRPr="002C613D" w:rsidRDefault="00C37C2D" w:rsidP="00C37C2D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AD6F76" w14:textId="77777777" w:rsidR="00C37C2D" w:rsidRDefault="00C37C2D" w:rsidP="00C37C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2F45F" w14:textId="77777777" w:rsidR="00C37C2D" w:rsidRPr="00C37C2D" w:rsidRDefault="00C37C2D" w:rsidP="00C37C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FB2DF" w14:textId="77777777" w:rsidR="00CE19FD" w:rsidRPr="00CE19FD" w:rsidRDefault="00CE19FD" w:rsidP="00CE19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D5F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28D2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D6AF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CFA6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3FA44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EF81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137C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636B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D1D3D" w14:textId="77777777" w:rsid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F2C2F" w14:textId="410ED74F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D58B64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2E4269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89291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5DB4D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F68C9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2B74E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AC694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904E8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666278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442024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3BB83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27CCF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75F6F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0FB13" w14:textId="77777777" w:rsidR="00C37C2D" w:rsidRDefault="00C37C2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559B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204B9" w14:textId="77777777" w:rsidR="00C11CFE" w:rsidRPr="00CE19FD" w:rsidRDefault="00C11CFE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61D485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1A22D034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A2538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892B660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6B6354" w14:textId="0A82C8A7" w:rsidR="00CE19FD" w:rsidRPr="008A39FA" w:rsidRDefault="00CE19FD" w:rsidP="008A39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D30A4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.(III.</w:t>
      </w:r>
      <w:r w:rsidR="00C11CF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30A45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35CE8148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42007E" w14:textId="77777777" w:rsidR="00CE19FD" w:rsidRPr="00CE19FD" w:rsidRDefault="00CE19FD" w:rsidP="00CE19FD">
      <w:pPr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19BE8A" w14:textId="1D7E7879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</w:t>
      </w:r>
      <w:r w:rsidR="00451252">
        <w:rPr>
          <w:rFonts w:asciiTheme="minorHAnsi" w:hAnsiTheme="minorHAnsi" w:cstheme="minorHAnsi"/>
          <w:sz w:val="22"/>
          <w:szCs w:val="22"/>
        </w:rPr>
        <w:t>4</w:t>
      </w:r>
      <w:r w:rsidRPr="00CE19FD">
        <w:rPr>
          <w:rFonts w:asciiTheme="minorHAnsi" w:hAnsiTheme="minorHAnsi" w:cstheme="minorHAnsi"/>
          <w:sz w:val="22"/>
          <w:szCs w:val="22"/>
        </w:rPr>
        <w:t>. évi ellenőrzési jelentését a hozzá kapcsolódó 1-5. számú mellékletekkel együtt jóváhagyja.</w:t>
      </w:r>
    </w:p>
    <w:p w14:paraId="2FAF62AA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68E5E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147C59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CE19FD" w:rsidRPr="00CE19FD" w14:paraId="3D6694A0" w14:textId="77777777" w:rsidTr="008C61A3">
        <w:trPr>
          <w:jc w:val="center"/>
        </w:trPr>
        <w:tc>
          <w:tcPr>
            <w:tcW w:w="1579" w:type="dxa"/>
            <w:hideMark/>
          </w:tcPr>
          <w:p w14:paraId="29737457" w14:textId="77777777" w:rsidR="00CE19FD" w:rsidRPr="00CE19FD" w:rsidRDefault="00CE19FD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1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4D430293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Dr. Nemény András polgármester</w:t>
            </w:r>
          </w:p>
          <w:p w14:paraId="1EC69A7F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4421AC7D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 Dr. Andorné Fodor Ágnes,</w:t>
            </w:r>
          </w:p>
          <w:p w14:paraId="5AE313A5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a Belső Ellenőrzési Iroda vezetője/</w:t>
            </w:r>
          </w:p>
          <w:p w14:paraId="547591C8" w14:textId="77777777" w:rsidR="00CE19FD" w:rsidRPr="00CE19FD" w:rsidRDefault="00CE19FD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9FD" w:rsidRPr="00CE19FD" w14:paraId="48864A43" w14:textId="77777777" w:rsidTr="008C61A3">
        <w:trPr>
          <w:jc w:val="center"/>
        </w:trPr>
        <w:tc>
          <w:tcPr>
            <w:tcW w:w="1579" w:type="dxa"/>
            <w:hideMark/>
          </w:tcPr>
          <w:p w14:paraId="23609857" w14:textId="77777777" w:rsidR="00CE19FD" w:rsidRPr="00CE19FD" w:rsidRDefault="00CE19FD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1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BC10FC1" w14:textId="77777777" w:rsidR="00CE19FD" w:rsidRPr="00CE19FD" w:rsidRDefault="00CE19FD" w:rsidP="008C61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14:paraId="62DBBC70" w14:textId="77777777" w:rsidR="00CE19FD" w:rsidRDefault="00CE19FD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B8A2F8F" w14:textId="77777777" w:rsidR="004411DA" w:rsidRDefault="004411D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9760A5" w14:textId="77777777" w:rsidR="00E424FA" w:rsidRPr="00CE19FD" w:rsidRDefault="00E424F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60F1439" w14:textId="77777777" w:rsidR="00C37C2D" w:rsidRPr="002C613D" w:rsidRDefault="00C37C2D" w:rsidP="00C37C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613D">
        <w:rPr>
          <w:rFonts w:asciiTheme="minorHAnsi" w:hAnsiTheme="minorHAnsi" w:cstheme="minorHAnsi"/>
          <w:b/>
          <w:sz w:val="22"/>
          <w:szCs w:val="22"/>
        </w:rPr>
        <w:t>II.</w:t>
      </w:r>
    </w:p>
    <w:p w14:paraId="0B878123" w14:textId="77777777" w:rsidR="00C37C2D" w:rsidRPr="002C613D" w:rsidRDefault="00C37C2D" w:rsidP="00C37C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71D88E" w14:textId="77777777" w:rsidR="00C37C2D" w:rsidRPr="002C613D" w:rsidRDefault="00C37C2D" w:rsidP="00C37C2D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2C613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HATÁROZATI JAVASLAT</w:t>
      </w:r>
    </w:p>
    <w:p w14:paraId="728DAC4E" w14:textId="77777777" w:rsidR="00C37C2D" w:rsidRPr="002C613D" w:rsidRDefault="00C37C2D" w:rsidP="00C37C2D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2C613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…./202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5</w:t>
      </w:r>
      <w:r w:rsidRPr="002C613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.(III.2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7</w:t>
      </w:r>
      <w:r w:rsidRPr="002C613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.) Kgy. sz. határozat</w:t>
      </w:r>
    </w:p>
    <w:p w14:paraId="40181BAE" w14:textId="77777777" w:rsidR="00C37C2D" w:rsidRPr="002C613D" w:rsidRDefault="00C37C2D" w:rsidP="00C37C2D">
      <w:pPr>
        <w:rPr>
          <w:rFonts w:asciiTheme="minorHAnsi" w:hAnsiTheme="minorHAnsi" w:cstheme="minorHAnsi"/>
          <w:sz w:val="22"/>
          <w:szCs w:val="22"/>
        </w:rPr>
      </w:pPr>
    </w:p>
    <w:p w14:paraId="77EAB90D" w14:textId="77777777" w:rsidR="00C37C2D" w:rsidRPr="002C613D" w:rsidRDefault="00C37C2D" w:rsidP="00C37C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CA1592" w14:textId="77777777" w:rsidR="00C37C2D" w:rsidRPr="002C613D" w:rsidRDefault="00C37C2D" w:rsidP="00C37C2D">
      <w:pPr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A Közgyűlés a költségvetési szervek belső kontrollrendszeréről és belső ellenőrzéséről szóló 370/2011. (XII.31.) Kormányrendelet 49. § (3a) bekezdése alapján </w:t>
      </w:r>
    </w:p>
    <w:p w14:paraId="1DAA409B" w14:textId="77777777" w:rsidR="00C37C2D" w:rsidRPr="002C613D" w:rsidRDefault="00C37C2D" w:rsidP="00C37C2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7D477D" w14:textId="77777777" w:rsidR="00C37C2D" w:rsidRPr="002C613D" w:rsidRDefault="00C37C2D" w:rsidP="00C37C2D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az Önkormányzat által fenntartott költségvetési szervek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C613D">
        <w:rPr>
          <w:rFonts w:asciiTheme="minorHAnsi" w:hAnsiTheme="minorHAnsi" w:cstheme="minorHAnsi"/>
          <w:sz w:val="22"/>
          <w:szCs w:val="22"/>
        </w:rPr>
        <w:t>. évre vonatkozó éves ellenőrzési jelentései alapján készített éves összefoglaló ellenőrzési jelentést az előterjesztés 6. számú melléklete szerinti,</w:t>
      </w:r>
    </w:p>
    <w:p w14:paraId="0C2C5457" w14:textId="77777777" w:rsidR="00C37C2D" w:rsidRPr="002C613D" w:rsidRDefault="00C37C2D" w:rsidP="00C37C2D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Szombathelyi Köznevelési GAMESZ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C613D">
        <w:rPr>
          <w:rFonts w:asciiTheme="minorHAnsi" w:hAnsiTheme="minorHAnsi" w:cstheme="minorHAnsi"/>
          <w:sz w:val="22"/>
          <w:szCs w:val="22"/>
        </w:rPr>
        <w:t>. évre vonatkozó belső ellenőrzési jelentését (annak részeként az önkormányzati fenntartású óvodákban végzett ellenőrzéseket) az előterjesztés 7. számú melléklete szerinti,</w:t>
      </w:r>
    </w:p>
    <w:p w14:paraId="1BAC3D7D" w14:textId="77777777" w:rsidR="00C37C2D" w:rsidRPr="002C613D" w:rsidRDefault="00C37C2D" w:rsidP="00C37C2D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Szombathelyi Egészségügyi és Kulturális GESZ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C613D">
        <w:rPr>
          <w:rFonts w:asciiTheme="minorHAnsi" w:hAnsiTheme="minorHAnsi" w:cstheme="minorHAnsi"/>
          <w:sz w:val="22"/>
          <w:szCs w:val="22"/>
        </w:rPr>
        <w:t xml:space="preserve">. évre vonatkozó belső ellenőrzési jelentését (annak részeként </w:t>
      </w:r>
      <w:r w:rsidRPr="002C613D">
        <w:rPr>
          <w:rFonts w:asciiTheme="minorHAnsi" w:hAnsiTheme="minorHAnsi" w:cstheme="minorHAnsi"/>
          <w:sz w:val="22"/>
          <w:szCs w:val="22"/>
          <w:shd w:val="clear" w:color="auto" w:fill="FFFFFF"/>
        </w:rPr>
        <w:t>a Mesebolt Bábszínháznál, Savaria Szimfonikus Zenekarnál, Berzsenyi Dániel Könyvtárnál, Savaria Múzeumnál</w:t>
      </w:r>
      <w:r w:rsidRPr="002C613D">
        <w:rPr>
          <w:rFonts w:asciiTheme="minorHAnsi" w:hAnsiTheme="minorHAnsi" w:cstheme="minorHAnsi"/>
          <w:sz w:val="22"/>
          <w:szCs w:val="22"/>
        </w:rPr>
        <w:t>,</w:t>
      </w:r>
      <w:r w:rsidRPr="002C6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valamint a Szombathely Városi Vásárcsarnoknál </w:t>
      </w:r>
      <w:r w:rsidRPr="002C613D">
        <w:rPr>
          <w:rFonts w:asciiTheme="minorHAnsi" w:hAnsiTheme="minorHAnsi" w:cstheme="minorHAnsi"/>
          <w:sz w:val="22"/>
          <w:szCs w:val="22"/>
        </w:rPr>
        <w:t>végzett ellenőrzéseket) az előterjesztés 8. számú mellékletei szerinti,</w:t>
      </w:r>
    </w:p>
    <w:p w14:paraId="39BF9A82" w14:textId="77777777" w:rsidR="00C37C2D" w:rsidRPr="002C613D" w:rsidRDefault="00C37C2D" w:rsidP="00C37C2D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Szombathelyi Egyesített Bölcsődei Intézmény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C613D">
        <w:rPr>
          <w:rFonts w:asciiTheme="minorHAnsi" w:hAnsiTheme="minorHAnsi" w:cstheme="minorHAnsi"/>
          <w:sz w:val="22"/>
          <w:szCs w:val="22"/>
        </w:rPr>
        <w:t>. évre vonatkozó belső ellenőrzési jelentését az előterjesztés 9. számú melléklete szerinti,</w:t>
      </w:r>
    </w:p>
    <w:p w14:paraId="06974C9D" w14:textId="77777777" w:rsidR="00C37C2D" w:rsidRPr="002C613D" w:rsidRDefault="00C37C2D" w:rsidP="00C37C2D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C613D">
        <w:rPr>
          <w:rFonts w:asciiTheme="minorHAnsi" w:hAnsiTheme="minorHAnsi" w:cstheme="minorHAnsi"/>
          <w:sz w:val="22"/>
          <w:szCs w:val="22"/>
        </w:rPr>
        <w:t>. évre vonatkozó belső ellenőrzési jelentését az előterjesztés 10. számú melléklete szerinti</w:t>
      </w:r>
    </w:p>
    <w:p w14:paraId="7562DF46" w14:textId="77777777" w:rsidR="00C37C2D" w:rsidRPr="002C613D" w:rsidRDefault="00C37C2D" w:rsidP="00C37C2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>tartalommal jóváhagyja.</w:t>
      </w:r>
    </w:p>
    <w:p w14:paraId="6D1C8221" w14:textId="77777777" w:rsidR="00C37C2D" w:rsidRPr="002C613D" w:rsidRDefault="00C37C2D" w:rsidP="00C37C2D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9B91602" w14:textId="77777777" w:rsidR="00C37C2D" w:rsidRPr="002C613D" w:rsidRDefault="00C37C2D" w:rsidP="00C37C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8E4BD4" w14:textId="77777777" w:rsidR="00C37C2D" w:rsidRPr="002C613D" w:rsidRDefault="00C37C2D" w:rsidP="00C37C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C37C2D" w:rsidRPr="002C613D" w14:paraId="1F8CA02A" w14:textId="77777777" w:rsidTr="00CF0242">
        <w:trPr>
          <w:jc w:val="center"/>
        </w:trPr>
        <w:tc>
          <w:tcPr>
            <w:tcW w:w="1579" w:type="dxa"/>
            <w:hideMark/>
          </w:tcPr>
          <w:p w14:paraId="09FFDCA9" w14:textId="77777777" w:rsidR="00C37C2D" w:rsidRPr="002C613D" w:rsidRDefault="00C37C2D" w:rsidP="00CF024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C613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37C0EE4D" w14:textId="77777777" w:rsidR="00C37C2D" w:rsidRPr="002C613D" w:rsidRDefault="00C37C2D" w:rsidP="00CF0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13D">
              <w:rPr>
                <w:rFonts w:asciiTheme="minorHAnsi" w:hAnsiTheme="minorHAnsi" w:cstheme="minorHAnsi"/>
                <w:sz w:val="22"/>
                <w:szCs w:val="22"/>
              </w:rPr>
              <w:t>Dr. Nemény András polgármester</w:t>
            </w:r>
          </w:p>
          <w:p w14:paraId="7F82CE92" w14:textId="77777777" w:rsidR="00C37C2D" w:rsidRPr="002C613D" w:rsidRDefault="00C37C2D" w:rsidP="00CF0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13D"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  <w:p w14:paraId="583BA5A2" w14:textId="77777777" w:rsidR="00C37C2D" w:rsidRPr="002C613D" w:rsidRDefault="00C37C2D" w:rsidP="00CF0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13D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034E1597" w14:textId="77777777" w:rsidR="00C37C2D" w:rsidRPr="002C613D" w:rsidRDefault="00C37C2D" w:rsidP="00CF0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13D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</w:t>
            </w:r>
          </w:p>
          <w:p w14:paraId="659EFE3F" w14:textId="77777777" w:rsidR="00C37C2D" w:rsidRPr="002C613D" w:rsidRDefault="00C37C2D" w:rsidP="00CF0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13D">
              <w:rPr>
                <w:rFonts w:asciiTheme="minorHAnsi" w:hAnsiTheme="minorHAnsi" w:cstheme="minorHAnsi"/>
                <w:sz w:val="22"/>
                <w:szCs w:val="22"/>
              </w:rPr>
              <w:t>Vinczéné Dr. Menyhárt Mária, az Egészségügyi és Közszolgálati Osztály vezetője/</w:t>
            </w:r>
          </w:p>
        </w:tc>
      </w:tr>
      <w:tr w:rsidR="00C37C2D" w:rsidRPr="002C613D" w14:paraId="76EB79FD" w14:textId="77777777" w:rsidTr="00CF0242">
        <w:trPr>
          <w:jc w:val="center"/>
        </w:trPr>
        <w:tc>
          <w:tcPr>
            <w:tcW w:w="1579" w:type="dxa"/>
            <w:hideMark/>
          </w:tcPr>
          <w:p w14:paraId="70E93D9A" w14:textId="77777777" w:rsidR="00C37C2D" w:rsidRPr="002C613D" w:rsidRDefault="00C37C2D" w:rsidP="00CF024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EED2EB0" w14:textId="77777777" w:rsidR="00C37C2D" w:rsidRPr="002C613D" w:rsidRDefault="00C37C2D" w:rsidP="00CF024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C613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2C24E596" w14:textId="77777777" w:rsidR="00C37C2D" w:rsidRPr="002C613D" w:rsidRDefault="00C37C2D" w:rsidP="00CF0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8888E" w14:textId="77777777" w:rsidR="00C37C2D" w:rsidRPr="002C613D" w:rsidRDefault="00C37C2D" w:rsidP="00CF0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13D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14:paraId="42B3C6E9" w14:textId="77777777" w:rsidR="00C37C2D" w:rsidRPr="002C613D" w:rsidRDefault="00C37C2D" w:rsidP="00C37C2D">
      <w:pPr>
        <w:rPr>
          <w:rFonts w:asciiTheme="minorHAnsi" w:hAnsiTheme="minorHAnsi" w:cstheme="minorHAnsi"/>
          <w:sz w:val="22"/>
          <w:szCs w:val="22"/>
        </w:rPr>
      </w:pPr>
    </w:p>
    <w:p w14:paraId="05E2B6FC" w14:textId="77777777" w:rsidR="00C37C2D" w:rsidRPr="002C613D" w:rsidRDefault="00C37C2D" w:rsidP="00C37C2D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6FCD9D7" w14:textId="77777777" w:rsidR="009377E3" w:rsidRPr="001F07DF" w:rsidRDefault="009377E3" w:rsidP="002D4E45">
      <w:pPr>
        <w:rPr>
          <w:rFonts w:asciiTheme="minorHAnsi" w:hAnsiTheme="minorHAnsi" w:cstheme="minorHAnsi"/>
          <w:sz w:val="22"/>
          <w:szCs w:val="22"/>
        </w:rPr>
      </w:pPr>
    </w:p>
    <w:sectPr w:rsidR="009377E3" w:rsidRPr="001F07D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E8CF" w14:textId="77777777" w:rsidR="008C61A3" w:rsidRDefault="008C61A3">
      <w:r>
        <w:separator/>
      </w:r>
    </w:p>
  </w:endnote>
  <w:endnote w:type="continuationSeparator" w:id="0">
    <w:p w14:paraId="04C92B54" w14:textId="77777777" w:rsidR="008C61A3" w:rsidRDefault="008C61A3">
      <w:r>
        <w:continuationSeparator/>
      </w:r>
    </w:p>
  </w:endnote>
  <w:endnote w:type="continuationNotice" w:id="1">
    <w:p w14:paraId="0DBF62E9" w14:textId="77777777" w:rsidR="005C663A" w:rsidRDefault="005C6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4AD" w14:textId="77777777" w:rsidR="008C61A3" w:rsidRPr="009377E3" w:rsidRDefault="008C61A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6B5AE4" wp14:editId="658AC54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EB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EF4BFE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EF4BFE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945B" w14:textId="77777777" w:rsidR="008C61A3" w:rsidRPr="009377E3" w:rsidRDefault="008C61A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57445B45" w14:textId="50C6D061" w:rsidR="008C61A3" w:rsidRPr="009377E3" w:rsidRDefault="008C61A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="00CE08AD">
      <w:rPr>
        <w:rFonts w:asciiTheme="minorHAnsi" w:hAnsiTheme="minorHAnsi" w:cstheme="minorHAnsi"/>
        <w:sz w:val="20"/>
        <w:szCs w:val="20"/>
      </w:rPr>
      <w:t xml:space="preserve">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46E5BB3" w14:textId="6C1B4CDF" w:rsidR="008C61A3" w:rsidRPr="009377E3" w:rsidRDefault="008C61A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</w:r>
    <w:r w:rsidR="00CE08AD">
      <w:rPr>
        <w:rFonts w:asciiTheme="minorHAnsi" w:hAnsiTheme="minorHAnsi" w:cstheme="minorHAnsi"/>
        <w:sz w:val="20"/>
        <w:szCs w:val="20"/>
      </w:rPr>
      <w:t xml:space="preserve">    </w:t>
    </w:r>
    <w:r w:rsidRPr="009377E3">
      <w:rPr>
        <w:rFonts w:asciiTheme="minorHAnsi" w:hAnsiTheme="minorHAnsi" w:cstheme="minorHAnsi"/>
        <w:sz w:val="20"/>
        <w:szCs w:val="20"/>
      </w:rPr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8C0E8F9" w14:textId="42151A90" w:rsidR="008C61A3" w:rsidRPr="00D372EB" w:rsidRDefault="00CE08AD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8C61A3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AB3C" w14:textId="77777777" w:rsidR="008C61A3" w:rsidRDefault="008C61A3">
      <w:r>
        <w:separator/>
      </w:r>
    </w:p>
  </w:footnote>
  <w:footnote w:type="continuationSeparator" w:id="0">
    <w:p w14:paraId="6E2F98CD" w14:textId="77777777" w:rsidR="008C61A3" w:rsidRDefault="008C61A3">
      <w:r>
        <w:continuationSeparator/>
      </w:r>
    </w:p>
  </w:footnote>
  <w:footnote w:type="continuationNotice" w:id="1">
    <w:p w14:paraId="0608CD5C" w14:textId="77777777" w:rsidR="005C663A" w:rsidRDefault="005C6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C15B" w14:textId="77777777" w:rsidR="008C61A3" w:rsidRPr="009377E3" w:rsidRDefault="008C61A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7BF1694" wp14:editId="18D1E0D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B8E35" w14:textId="77777777" w:rsidR="008C61A3" w:rsidRPr="009377E3" w:rsidRDefault="008C61A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53B7267" w14:textId="77777777" w:rsidR="008C61A3" w:rsidRPr="009377E3" w:rsidRDefault="008C61A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>Jegyzője</w:t>
    </w:r>
  </w:p>
  <w:p w14:paraId="64A0A984" w14:textId="77777777" w:rsidR="008C61A3" w:rsidRPr="009377E3" w:rsidRDefault="008C61A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4F2DFEBE" w14:textId="77777777" w:rsidR="008C61A3" w:rsidRPr="009377E3" w:rsidRDefault="008C61A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292A0BB" w14:textId="77777777" w:rsidR="00E12CD8" w:rsidRPr="009377E3" w:rsidRDefault="00E12CD8" w:rsidP="00E12CD8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2CFA61" w14:textId="77777777" w:rsidR="00E12CD8" w:rsidRPr="002E75F7" w:rsidRDefault="00E12CD8" w:rsidP="00E12CD8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Gazdasági és Jogi Bizottság</w:t>
    </w:r>
  </w:p>
  <w:p w14:paraId="5E8E29E9" w14:textId="77777777" w:rsidR="00E12CD8" w:rsidRDefault="00E12CD8" w:rsidP="00E12CD8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0EEAC536" w14:textId="77777777" w:rsidR="00E12CD8" w:rsidRDefault="00E12CD8" w:rsidP="00E12CD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F9C5BDE" w14:textId="77777777" w:rsidR="00E12CD8" w:rsidRPr="00FE35AA" w:rsidRDefault="00E12CD8" w:rsidP="00E12CD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FE35AA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0C7D36C8" w14:textId="77777777" w:rsidR="00E12CD8" w:rsidRDefault="00E12CD8" w:rsidP="00E12CD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3AAB560C" w14:textId="77777777" w:rsidR="00E12CD8" w:rsidRDefault="00E12CD8" w:rsidP="00E12CD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</w:t>
    </w:r>
  </w:p>
  <w:p w14:paraId="5A10D776" w14:textId="77777777" w:rsidR="00E12CD8" w:rsidRPr="00793249" w:rsidRDefault="00E12CD8" w:rsidP="00E12CD8">
    <w:pPr>
      <w:ind w:left="4536"/>
      <w:rPr>
        <w:rFonts w:asciiTheme="minorHAnsi" w:hAnsiTheme="minorHAnsi" w:cstheme="minorHAnsi"/>
        <w:bCs/>
        <w:iCs/>
        <w:color w:val="FF0000"/>
        <w:sz w:val="22"/>
        <w:szCs w:val="22"/>
      </w:rPr>
    </w:pPr>
  </w:p>
  <w:p w14:paraId="04D53FE9" w14:textId="77777777" w:rsidR="008C61A3" w:rsidRPr="009377E3" w:rsidRDefault="008C61A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6BC341D" w14:textId="77777777" w:rsidR="008C61A3" w:rsidRPr="009377E3" w:rsidRDefault="008C61A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D28164D" w14:textId="77777777" w:rsidR="008C61A3" w:rsidRPr="009377E3" w:rsidRDefault="008C61A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1A586B"/>
    <w:multiLevelType w:val="multilevel"/>
    <w:tmpl w:val="21B0D15A"/>
    <w:lvl w:ilvl="0">
      <w:start w:val="1"/>
      <w:numFmt w:val="none"/>
      <w:lvlText w:val="I. 2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9DD"/>
    <w:multiLevelType w:val="hybridMultilevel"/>
    <w:tmpl w:val="C330A6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04305FF"/>
    <w:multiLevelType w:val="multilevel"/>
    <w:tmpl w:val="FE0A5A74"/>
    <w:lvl w:ilvl="0">
      <w:start w:val="1"/>
      <w:numFmt w:val="none"/>
      <w:lvlText w:val="I. 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49AA5387"/>
    <w:multiLevelType w:val="hybridMultilevel"/>
    <w:tmpl w:val="EA3C89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387"/>
    <w:multiLevelType w:val="hybridMultilevel"/>
    <w:tmpl w:val="ECAAF5F0"/>
    <w:lvl w:ilvl="0" w:tplc="9C6A0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326CC8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0E7"/>
    <w:multiLevelType w:val="hybridMultilevel"/>
    <w:tmpl w:val="DD4ADF6E"/>
    <w:lvl w:ilvl="0" w:tplc="14D69590">
      <w:start w:val="1"/>
      <w:numFmt w:val="lowerLetter"/>
      <w:lvlText w:val="%1.)"/>
      <w:lvlJc w:val="left"/>
      <w:pPr>
        <w:ind w:left="928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1D7E62"/>
    <w:multiLevelType w:val="hybridMultilevel"/>
    <w:tmpl w:val="B240C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4CC1"/>
    <w:multiLevelType w:val="hybridMultilevel"/>
    <w:tmpl w:val="93CC6C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555FC"/>
    <w:multiLevelType w:val="multilevel"/>
    <w:tmpl w:val="700ABC64"/>
    <w:lvl w:ilvl="0">
      <w:start w:val="1"/>
      <w:numFmt w:val="none"/>
      <w:lvlText w:val="I. 3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4" w15:restartNumberingAfterBreak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9675D"/>
    <w:multiLevelType w:val="hybridMultilevel"/>
    <w:tmpl w:val="05F25B8E"/>
    <w:lvl w:ilvl="0" w:tplc="15D26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EE7"/>
    <w:multiLevelType w:val="hybridMultilevel"/>
    <w:tmpl w:val="41E2E4B4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F0E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32A25"/>
    <w:multiLevelType w:val="hybridMultilevel"/>
    <w:tmpl w:val="E3B66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5111">
    <w:abstractNumId w:val="4"/>
  </w:num>
  <w:num w:numId="2" w16cid:durableId="957250744">
    <w:abstractNumId w:val="6"/>
  </w:num>
  <w:num w:numId="3" w16cid:durableId="1291546050">
    <w:abstractNumId w:val="3"/>
  </w:num>
  <w:num w:numId="4" w16cid:durableId="1035236329">
    <w:abstractNumId w:val="14"/>
  </w:num>
  <w:num w:numId="5" w16cid:durableId="1072628210">
    <w:abstractNumId w:val="18"/>
  </w:num>
  <w:num w:numId="6" w16cid:durableId="2074427963">
    <w:abstractNumId w:val="8"/>
  </w:num>
  <w:num w:numId="7" w16cid:durableId="533881202">
    <w:abstractNumId w:val="9"/>
  </w:num>
  <w:num w:numId="8" w16cid:durableId="1209535057">
    <w:abstractNumId w:val="0"/>
  </w:num>
  <w:num w:numId="9" w16cid:durableId="487525642">
    <w:abstractNumId w:val="10"/>
  </w:num>
  <w:num w:numId="10" w16cid:durableId="324750304">
    <w:abstractNumId w:val="5"/>
  </w:num>
  <w:num w:numId="11" w16cid:durableId="433138000">
    <w:abstractNumId w:val="12"/>
  </w:num>
  <w:num w:numId="12" w16cid:durableId="525486685">
    <w:abstractNumId w:val="1"/>
  </w:num>
  <w:num w:numId="13" w16cid:durableId="657727405">
    <w:abstractNumId w:val="13"/>
  </w:num>
  <w:num w:numId="14" w16cid:durableId="1290671004">
    <w:abstractNumId w:val="17"/>
  </w:num>
  <w:num w:numId="15" w16cid:durableId="1183281862">
    <w:abstractNumId w:val="11"/>
  </w:num>
  <w:num w:numId="16" w16cid:durableId="1627657716">
    <w:abstractNumId w:val="16"/>
  </w:num>
  <w:num w:numId="17" w16cid:durableId="1834837861">
    <w:abstractNumId w:val="15"/>
  </w:num>
  <w:num w:numId="18" w16cid:durableId="1755124194">
    <w:abstractNumId w:val="7"/>
  </w:num>
  <w:num w:numId="19" w16cid:durableId="145051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4"/>
    <w:rsid w:val="00001694"/>
    <w:rsid w:val="00003C63"/>
    <w:rsid w:val="00005405"/>
    <w:rsid w:val="00005666"/>
    <w:rsid w:val="000068B6"/>
    <w:rsid w:val="00007560"/>
    <w:rsid w:val="000078D8"/>
    <w:rsid w:val="00045CD9"/>
    <w:rsid w:val="000535E5"/>
    <w:rsid w:val="00064202"/>
    <w:rsid w:val="00074E19"/>
    <w:rsid w:val="00091AB0"/>
    <w:rsid w:val="000B522B"/>
    <w:rsid w:val="000C593A"/>
    <w:rsid w:val="000D5554"/>
    <w:rsid w:val="000E6ADD"/>
    <w:rsid w:val="000F0700"/>
    <w:rsid w:val="000F0C2C"/>
    <w:rsid w:val="00107A2A"/>
    <w:rsid w:val="001124E0"/>
    <w:rsid w:val="00132161"/>
    <w:rsid w:val="00146C79"/>
    <w:rsid w:val="001627C2"/>
    <w:rsid w:val="00163896"/>
    <w:rsid w:val="00173241"/>
    <w:rsid w:val="00181799"/>
    <w:rsid w:val="001A1C93"/>
    <w:rsid w:val="001A4648"/>
    <w:rsid w:val="001B1F20"/>
    <w:rsid w:val="001C47AE"/>
    <w:rsid w:val="001C67F3"/>
    <w:rsid w:val="001D2C45"/>
    <w:rsid w:val="001E4BB3"/>
    <w:rsid w:val="001F07DF"/>
    <w:rsid w:val="001F3EE4"/>
    <w:rsid w:val="00205DBF"/>
    <w:rsid w:val="00206E9F"/>
    <w:rsid w:val="00212AC2"/>
    <w:rsid w:val="00230646"/>
    <w:rsid w:val="002430C8"/>
    <w:rsid w:val="00244D25"/>
    <w:rsid w:val="00257A3F"/>
    <w:rsid w:val="00274843"/>
    <w:rsid w:val="0028291C"/>
    <w:rsid w:val="00284D79"/>
    <w:rsid w:val="00287B61"/>
    <w:rsid w:val="00292F68"/>
    <w:rsid w:val="002A0CAE"/>
    <w:rsid w:val="002A314E"/>
    <w:rsid w:val="002B657C"/>
    <w:rsid w:val="002C0084"/>
    <w:rsid w:val="002C5422"/>
    <w:rsid w:val="002D4E45"/>
    <w:rsid w:val="002E0E60"/>
    <w:rsid w:val="002F1C23"/>
    <w:rsid w:val="002F4AB5"/>
    <w:rsid w:val="003027F2"/>
    <w:rsid w:val="003160A0"/>
    <w:rsid w:val="0031727C"/>
    <w:rsid w:val="0032125D"/>
    <w:rsid w:val="00325973"/>
    <w:rsid w:val="0032649B"/>
    <w:rsid w:val="0033217B"/>
    <w:rsid w:val="00336FCB"/>
    <w:rsid w:val="0034130E"/>
    <w:rsid w:val="00342F0C"/>
    <w:rsid w:val="00343253"/>
    <w:rsid w:val="003457B9"/>
    <w:rsid w:val="00345F65"/>
    <w:rsid w:val="00347B2D"/>
    <w:rsid w:val="00356256"/>
    <w:rsid w:val="0036172E"/>
    <w:rsid w:val="00374EF3"/>
    <w:rsid w:val="00387E79"/>
    <w:rsid w:val="003B69C6"/>
    <w:rsid w:val="003C0F6D"/>
    <w:rsid w:val="003E1044"/>
    <w:rsid w:val="003F4EB6"/>
    <w:rsid w:val="003F4FCB"/>
    <w:rsid w:val="004002E9"/>
    <w:rsid w:val="004115A1"/>
    <w:rsid w:val="00413E5F"/>
    <w:rsid w:val="00415A39"/>
    <w:rsid w:val="00430EA9"/>
    <w:rsid w:val="0043343E"/>
    <w:rsid w:val="00434DC9"/>
    <w:rsid w:val="004411DA"/>
    <w:rsid w:val="00441BF5"/>
    <w:rsid w:val="00442AF6"/>
    <w:rsid w:val="00451252"/>
    <w:rsid w:val="00460E9A"/>
    <w:rsid w:val="004A5006"/>
    <w:rsid w:val="004B48ED"/>
    <w:rsid w:val="004E597A"/>
    <w:rsid w:val="004F007F"/>
    <w:rsid w:val="004F6280"/>
    <w:rsid w:val="005006C7"/>
    <w:rsid w:val="00504834"/>
    <w:rsid w:val="00512953"/>
    <w:rsid w:val="00514CD3"/>
    <w:rsid w:val="005246DD"/>
    <w:rsid w:val="005321D7"/>
    <w:rsid w:val="0053446E"/>
    <w:rsid w:val="005408AF"/>
    <w:rsid w:val="0055089E"/>
    <w:rsid w:val="00550DA6"/>
    <w:rsid w:val="005612B4"/>
    <w:rsid w:val="00564EEF"/>
    <w:rsid w:val="005752D4"/>
    <w:rsid w:val="0058146A"/>
    <w:rsid w:val="0059424F"/>
    <w:rsid w:val="005B3EF7"/>
    <w:rsid w:val="005B4393"/>
    <w:rsid w:val="005B49C4"/>
    <w:rsid w:val="005C0712"/>
    <w:rsid w:val="005C2C6C"/>
    <w:rsid w:val="005C663A"/>
    <w:rsid w:val="005C6DDE"/>
    <w:rsid w:val="005D0011"/>
    <w:rsid w:val="005D37ED"/>
    <w:rsid w:val="005E62B5"/>
    <w:rsid w:val="005F19FE"/>
    <w:rsid w:val="005F6FAF"/>
    <w:rsid w:val="005F7BB4"/>
    <w:rsid w:val="00603A3C"/>
    <w:rsid w:val="006048FE"/>
    <w:rsid w:val="00612515"/>
    <w:rsid w:val="0061287F"/>
    <w:rsid w:val="0061405A"/>
    <w:rsid w:val="006241B2"/>
    <w:rsid w:val="00634662"/>
    <w:rsid w:val="00635388"/>
    <w:rsid w:val="0064053C"/>
    <w:rsid w:val="006472C9"/>
    <w:rsid w:val="00663D8C"/>
    <w:rsid w:val="00673677"/>
    <w:rsid w:val="006A73A5"/>
    <w:rsid w:val="006B5218"/>
    <w:rsid w:val="006C1C56"/>
    <w:rsid w:val="006C4D12"/>
    <w:rsid w:val="006D784D"/>
    <w:rsid w:val="006E7394"/>
    <w:rsid w:val="006E773B"/>
    <w:rsid w:val="007070BC"/>
    <w:rsid w:val="007078BD"/>
    <w:rsid w:val="00710D1D"/>
    <w:rsid w:val="0071100C"/>
    <w:rsid w:val="00720057"/>
    <w:rsid w:val="007227C2"/>
    <w:rsid w:val="00724C89"/>
    <w:rsid w:val="00727F22"/>
    <w:rsid w:val="007326FF"/>
    <w:rsid w:val="00734BA3"/>
    <w:rsid w:val="00736AC7"/>
    <w:rsid w:val="00740A25"/>
    <w:rsid w:val="007424AF"/>
    <w:rsid w:val="00760F4C"/>
    <w:rsid w:val="007610CC"/>
    <w:rsid w:val="00775C54"/>
    <w:rsid w:val="007801D4"/>
    <w:rsid w:val="00793249"/>
    <w:rsid w:val="007A0E65"/>
    <w:rsid w:val="007A2483"/>
    <w:rsid w:val="007A7F9C"/>
    <w:rsid w:val="007B2F93"/>
    <w:rsid w:val="007B2FF9"/>
    <w:rsid w:val="007B4FA9"/>
    <w:rsid w:val="007C40AF"/>
    <w:rsid w:val="007C528A"/>
    <w:rsid w:val="007D2C7D"/>
    <w:rsid w:val="007D2FFB"/>
    <w:rsid w:val="007D4A3A"/>
    <w:rsid w:val="007F2F31"/>
    <w:rsid w:val="007F4D2F"/>
    <w:rsid w:val="0082654D"/>
    <w:rsid w:val="0082660D"/>
    <w:rsid w:val="00834A26"/>
    <w:rsid w:val="008356BA"/>
    <w:rsid w:val="00843044"/>
    <w:rsid w:val="00847136"/>
    <w:rsid w:val="0085464F"/>
    <w:rsid w:val="00854C00"/>
    <w:rsid w:val="008663B5"/>
    <w:rsid w:val="008705AC"/>
    <w:rsid w:val="008728D0"/>
    <w:rsid w:val="00886D78"/>
    <w:rsid w:val="008920D3"/>
    <w:rsid w:val="008948BB"/>
    <w:rsid w:val="008A06CA"/>
    <w:rsid w:val="008A156D"/>
    <w:rsid w:val="008A37A5"/>
    <w:rsid w:val="008A39FA"/>
    <w:rsid w:val="008C4D8C"/>
    <w:rsid w:val="008C61A3"/>
    <w:rsid w:val="008C780E"/>
    <w:rsid w:val="008D23FA"/>
    <w:rsid w:val="008F7842"/>
    <w:rsid w:val="009066C1"/>
    <w:rsid w:val="009106DA"/>
    <w:rsid w:val="009108B7"/>
    <w:rsid w:val="0091509C"/>
    <w:rsid w:val="00922E5F"/>
    <w:rsid w:val="0092392A"/>
    <w:rsid w:val="00924FDB"/>
    <w:rsid w:val="009348EA"/>
    <w:rsid w:val="009377E3"/>
    <w:rsid w:val="00937CFE"/>
    <w:rsid w:val="009403E2"/>
    <w:rsid w:val="00950E67"/>
    <w:rsid w:val="009519D6"/>
    <w:rsid w:val="0096279B"/>
    <w:rsid w:val="00965D2F"/>
    <w:rsid w:val="00976133"/>
    <w:rsid w:val="00980955"/>
    <w:rsid w:val="009A56FA"/>
    <w:rsid w:val="009B0B46"/>
    <w:rsid w:val="009B5040"/>
    <w:rsid w:val="009D4366"/>
    <w:rsid w:val="009D7FB4"/>
    <w:rsid w:val="009E34C5"/>
    <w:rsid w:val="009E6148"/>
    <w:rsid w:val="00A01988"/>
    <w:rsid w:val="00A14FAE"/>
    <w:rsid w:val="00A155B7"/>
    <w:rsid w:val="00A32900"/>
    <w:rsid w:val="00A36DCA"/>
    <w:rsid w:val="00A40D4D"/>
    <w:rsid w:val="00A4550C"/>
    <w:rsid w:val="00A4778D"/>
    <w:rsid w:val="00A5355D"/>
    <w:rsid w:val="00A7633E"/>
    <w:rsid w:val="00A92FC1"/>
    <w:rsid w:val="00A939DE"/>
    <w:rsid w:val="00AA1CD9"/>
    <w:rsid w:val="00AA34E1"/>
    <w:rsid w:val="00AB7B31"/>
    <w:rsid w:val="00AC2163"/>
    <w:rsid w:val="00AC424A"/>
    <w:rsid w:val="00AD08CD"/>
    <w:rsid w:val="00AE14C5"/>
    <w:rsid w:val="00AF28C0"/>
    <w:rsid w:val="00AF74DC"/>
    <w:rsid w:val="00B04143"/>
    <w:rsid w:val="00B077E3"/>
    <w:rsid w:val="00B07E42"/>
    <w:rsid w:val="00B103B4"/>
    <w:rsid w:val="00B2133C"/>
    <w:rsid w:val="00B27192"/>
    <w:rsid w:val="00B46184"/>
    <w:rsid w:val="00B610E8"/>
    <w:rsid w:val="00B61FD7"/>
    <w:rsid w:val="00B7736B"/>
    <w:rsid w:val="00B841DD"/>
    <w:rsid w:val="00B93F65"/>
    <w:rsid w:val="00BA710A"/>
    <w:rsid w:val="00BA78E5"/>
    <w:rsid w:val="00BB4D1F"/>
    <w:rsid w:val="00BB57E6"/>
    <w:rsid w:val="00BB5AAC"/>
    <w:rsid w:val="00BC014A"/>
    <w:rsid w:val="00BC2AE5"/>
    <w:rsid w:val="00BC46F6"/>
    <w:rsid w:val="00BD2D29"/>
    <w:rsid w:val="00BD3455"/>
    <w:rsid w:val="00BE037B"/>
    <w:rsid w:val="00BE2832"/>
    <w:rsid w:val="00BE370B"/>
    <w:rsid w:val="00BF6362"/>
    <w:rsid w:val="00BF6469"/>
    <w:rsid w:val="00C027FA"/>
    <w:rsid w:val="00C11CFE"/>
    <w:rsid w:val="00C37C2D"/>
    <w:rsid w:val="00C54929"/>
    <w:rsid w:val="00C63667"/>
    <w:rsid w:val="00C71215"/>
    <w:rsid w:val="00C71580"/>
    <w:rsid w:val="00C75125"/>
    <w:rsid w:val="00C82F58"/>
    <w:rsid w:val="00C9521D"/>
    <w:rsid w:val="00C964B2"/>
    <w:rsid w:val="00CA1274"/>
    <w:rsid w:val="00CA483B"/>
    <w:rsid w:val="00CD48BE"/>
    <w:rsid w:val="00CD5CF1"/>
    <w:rsid w:val="00CE08AD"/>
    <w:rsid w:val="00CE19FD"/>
    <w:rsid w:val="00CE396F"/>
    <w:rsid w:val="00D00145"/>
    <w:rsid w:val="00D270FB"/>
    <w:rsid w:val="00D30A45"/>
    <w:rsid w:val="00D36389"/>
    <w:rsid w:val="00D372EB"/>
    <w:rsid w:val="00D54DF8"/>
    <w:rsid w:val="00D56F10"/>
    <w:rsid w:val="00D5787B"/>
    <w:rsid w:val="00D713B0"/>
    <w:rsid w:val="00D72C15"/>
    <w:rsid w:val="00D76701"/>
    <w:rsid w:val="00D77A22"/>
    <w:rsid w:val="00D815F3"/>
    <w:rsid w:val="00D90AA6"/>
    <w:rsid w:val="00D92A5E"/>
    <w:rsid w:val="00DA14B3"/>
    <w:rsid w:val="00DB391C"/>
    <w:rsid w:val="00DC0204"/>
    <w:rsid w:val="00DD1481"/>
    <w:rsid w:val="00DD1E43"/>
    <w:rsid w:val="00DD419C"/>
    <w:rsid w:val="00DD5C98"/>
    <w:rsid w:val="00DE0A94"/>
    <w:rsid w:val="00DE552A"/>
    <w:rsid w:val="00DE6113"/>
    <w:rsid w:val="00DF5CC3"/>
    <w:rsid w:val="00E0020B"/>
    <w:rsid w:val="00E05BAB"/>
    <w:rsid w:val="00E113D2"/>
    <w:rsid w:val="00E11442"/>
    <w:rsid w:val="00E12CD8"/>
    <w:rsid w:val="00E1455C"/>
    <w:rsid w:val="00E21248"/>
    <w:rsid w:val="00E2395A"/>
    <w:rsid w:val="00E24DF3"/>
    <w:rsid w:val="00E424FA"/>
    <w:rsid w:val="00E542E9"/>
    <w:rsid w:val="00E63CDA"/>
    <w:rsid w:val="00E72A17"/>
    <w:rsid w:val="00E8090E"/>
    <w:rsid w:val="00E82F69"/>
    <w:rsid w:val="00E90BC2"/>
    <w:rsid w:val="00E950D2"/>
    <w:rsid w:val="00E95FAA"/>
    <w:rsid w:val="00EB0F80"/>
    <w:rsid w:val="00EB197E"/>
    <w:rsid w:val="00EB56E1"/>
    <w:rsid w:val="00EB5CC4"/>
    <w:rsid w:val="00EB62DD"/>
    <w:rsid w:val="00EC4F94"/>
    <w:rsid w:val="00EC7BFA"/>
    <w:rsid w:val="00EC7C11"/>
    <w:rsid w:val="00ED5614"/>
    <w:rsid w:val="00ED6C33"/>
    <w:rsid w:val="00EE0B6D"/>
    <w:rsid w:val="00EE6D33"/>
    <w:rsid w:val="00EF28E6"/>
    <w:rsid w:val="00EF4BFE"/>
    <w:rsid w:val="00F003B7"/>
    <w:rsid w:val="00F17C3E"/>
    <w:rsid w:val="00F17E03"/>
    <w:rsid w:val="00F21F29"/>
    <w:rsid w:val="00F30418"/>
    <w:rsid w:val="00F31979"/>
    <w:rsid w:val="00F32763"/>
    <w:rsid w:val="00F401B6"/>
    <w:rsid w:val="00F55340"/>
    <w:rsid w:val="00F6414F"/>
    <w:rsid w:val="00F77675"/>
    <w:rsid w:val="00F77EC9"/>
    <w:rsid w:val="00F813B8"/>
    <w:rsid w:val="00F943C0"/>
    <w:rsid w:val="00FA1F5D"/>
    <w:rsid w:val="00FA3F58"/>
    <w:rsid w:val="00FA5CE9"/>
    <w:rsid w:val="00FA7F90"/>
    <w:rsid w:val="00FB4A26"/>
    <w:rsid w:val="00FB6B2A"/>
    <w:rsid w:val="00FC4C84"/>
    <w:rsid w:val="00FC6419"/>
    <w:rsid w:val="00FE39BB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5764A43"/>
  <w15:chartTrackingRefBased/>
  <w15:docId w15:val="{47FE1C51-ABB3-44DA-9DA2-E6A3043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CE396F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E396F"/>
    <w:rPr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CE19F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E19FD"/>
    <w:rPr>
      <w:i/>
      <w:iCs/>
    </w:rPr>
  </w:style>
  <w:style w:type="table" w:styleId="Rcsostblzat">
    <w:name w:val="Table Grid"/>
    <w:basedOn w:val="Normltblzat"/>
    <w:rsid w:val="00CE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CE1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2973D-75EE-4A05-95F7-60DCCAE7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4EFD2-0AD1-447F-BFD8-C6ADD86683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2835</Words>
  <Characters>21629</Characters>
  <Application>Microsoft Office Word</Application>
  <DocSecurity>0</DocSecurity>
  <Lines>180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Andorné Fodor Ágnes dr.-né</cp:lastModifiedBy>
  <cp:revision>70</cp:revision>
  <cp:lastPrinted>2025-03-06T10:24:00Z</cp:lastPrinted>
  <dcterms:created xsi:type="dcterms:W3CDTF">2024-01-12T09:53:00Z</dcterms:created>
  <dcterms:modified xsi:type="dcterms:W3CDTF">2025-03-11T08:25:00Z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