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462D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482D103A" w14:textId="05FFCAF6" w:rsidR="00EC2998" w:rsidRDefault="006164AA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EC2998">
        <w:rPr>
          <w:rFonts w:ascii="Calibri" w:hAnsi="Calibri" w:cs="Calibri"/>
          <w:b/>
          <w:bCs/>
          <w:sz w:val="22"/>
          <w:szCs w:val="22"/>
        </w:rPr>
        <w:t>/2025. (</w:t>
      </w:r>
      <w:r>
        <w:rPr>
          <w:rFonts w:ascii="Calibri" w:hAnsi="Calibri" w:cs="Calibri"/>
          <w:b/>
          <w:bCs/>
          <w:sz w:val="22"/>
          <w:szCs w:val="22"/>
        </w:rPr>
        <w:t>I.31</w:t>
      </w:r>
      <w:r w:rsidR="00EC2998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03D45FC9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az önkormányzat 2024. évi költségvetéséről szóló 8/2024. (III.5.) önkormányzati rendelet módosításáról</w:t>
      </w:r>
    </w:p>
    <w:p w14:paraId="056B45EA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65D5B4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C46756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[1] A központi támogatásokból, a támogatásértékű működési bevételekből származó többletbevételeknek, a működéshez kapcsolódó többletbevételeknek, a finanszírozási műveletek bevételeinek, a polgármesteri rendelkezések alapján történt előirányzat átcsoportosításoknak, az eddigi közgyűlési és bizottsági döntések végrehajtásának, az egyéb előirányzat átcsoportosításoknak, az intézmények által benyújtott saját hatáskörű előirányzat módosítási kérelmeknek, valamint a 2024. év zárását követően a költségvetési források rendezésének átvezetése céljából szükséges az önkormányzat 2024. évi költségvetéséről szóló 8/2024. (III.5.) önkormányzati rendelet módosítása.</w:t>
      </w:r>
    </w:p>
    <w:p w14:paraId="09BCF4FC" w14:textId="77777777" w:rsidR="00EC2998" w:rsidRDefault="00EC2998" w:rsidP="00EC2998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10F1781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§</w:t>
      </w:r>
    </w:p>
    <w:p w14:paraId="2B05786F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önkormányzat 2024. évi költségvetéséről szóló 8/2024. (III. 5.) önkormányzati rendelet (a továbbiakban: Rendelet) 2. §-a helyébe a következő rendelkezés lép:</w:t>
      </w:r>
    </w:p>
    <w:p w14:paraId="0BE9FDE0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„2. §</w:t>
      </w:r>
    </w:p>
    <w:p w14:paraId="2ABD3768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 A Közgyűlés az Önkormányzat 2024. évi költségvetésének bevételi főösszegét 30.005.131 eFt-ban, kiadási főösszegét 37.170.759 eFt-ban állapítja meg.</w:t>
      </w:r>
    </w:p>
    <w:p w14:paraId="38035561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 A működési bevételek és kiadások egyenlegét -4.593.212 eFt-ban, a finanszírozási célú kiadásokat (pénzügyi lízing tőke része) -120.750 eFt-ban, az ezeket finanszírozó előző évek működési maradványát 5.576.667 eFt-ban határozza meg. Az így számított működési egyenleg +605.438 eFt.</w:t>
      </w:r>
    </w:p>
    <w:p w14:paraId="72EF3C18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 A felhalmozási célú bevételek és kiadások egyenlege -2.572.416 eFt-ban, az ezt finanszírozó előző évek felhalmozási maradványát 1.966.978 eFt-ban határozza meg. Az így számított felhalmozási egyenleg - 605.438 eFt.</w:t>
      </w:r>
    </w:p>
    <w:p w14:paraId="5EE162BF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(4) Az egyéb finanszírozási célú bevételeket (2024. és 2025. évi költségvetési támogatási előleg, lekötött bankbetét feloldása) 2.785.921 eFt-ban határozza meg.</w:t>
      </w:r>
    </w:p>
    <w:p w14:paraId="0796274F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(5) Az egyéb finanszírozási célú kiadásokat (2024. és 2025. évi költségvetési támogatási előleg, lekötött bankbetét elhelyezése) –3.043.188 eFt-ban határozza meg.</w:t>
      </w:r>
    </w:p>
    <w:p w14:paraId="266EC716" w14:textId="77777777" w:rsidR="00EC2998" w:rsidRDefault="00EC2998" w:rsidP="00EC2998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(6) A külső finanszírozási célú bevételeket 0 eFt-ban határozza meg.”</w:t>
      </w:r>
    </w:p>
    <w:p w14:paraId="02D8521D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 §</w:t>
      </w:r>
    </w:p>
    <w:p w14:paraId="3FD2E213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5. §-a helyébe a következő rendelkezés lép:</w:t>
      </w:r>
    </w:p>
    <w:p w14:paraId="1837CDF2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„5. §</w:t>
      </w:r>
    </w:p>
    <w:p w14:paraId="2FE47BA1" w14:textId="77777777" w:rsidR="00EC2998" w:rsidRDefault="00EC2998" w:rsidP="00EC2998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Közgyűlés a költségvetési szervek kiadásait 17.221.161 eFt-ban határozza meg a 6. mellékletben részletezettek szerint.”</w:t>
      </w:r>
    </w:p>
    <w:p w14:paraId="6D275002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67AA99" w14:textId="7F5B505F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3. §</w:t>
      </w:r>
    </w:p>
    <w:p w14:paraId="0308AAFE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8. és 9. §-a helyébe a következő rendelkezések lépnek:</w:t>
      </w:r>
    </w:p>
    <w:p w14:paraId="7E948C0A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„8. §</w:t>
      </w:r>
    </w:p>
    <w:p w14:paraId="23CD5D90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Közgyűlés az önkormányzati felhalmozási kiadások előirányzatát 3.090.819 eFt-ban határozza meg, amelynek részletes adatait a 18. melléklet tartalmazza.</w:t>
      </w:r>
    </w:p>
    <w:p w14:paraId="188B2685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9. §</w:t>
      </w:r>
    </w:p>
    <w:p w14:paraId="2D51818D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 A Közgyűlés céltartalékokat képez az alábbiak szerint:</w:t>
      </w:r>
    </w:p>
    <w:p w14:paraId="2AE3D1C5" w14:textId="77777777" w:rsidR="00EC2998" w:rsidRDefault="00EC2998" w:rsidP="00EC2998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ab/>
        <w:t>Tartalék – a 2025. évi költségvetéshez 447.127 eFt,</w:t>
      </w:r>
    </w:p>
    <w:p w14:paraId="00F33A5A" w14:textId="77777777" w:rsidR="00EC2998" w:rsidRDefault="00EC2998" w:rsidP="00EC2998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  <w:t>Tartalék – közétkeztetési rezsi kulcs emeléséből adódó többletkiadások fedezetére 79.010 eFt.</w:t>
      </w:r>
    </w:p>
    <w:p w14:paraId="0E1242A0" w14:textId="77777777" w:rsidR="00EC2998" w:rsidRDefault="00EC2998" w:rsidP="00EC2998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 Az (1) bekezdésben meghatározott céltartalékok felett a polgármester jogosult dönteni.”</w:t>
      </w:r>
    </w:p>
    <w:p w14:paraId="6D92A2E1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 §</w:t>
      </w:r>
    </w:p>
    <w:p w14:paraId="2D7F8445" w14:textId="77777777" w:rsidR="00EC2998" w:rsidRDefault="00EC2998" w:rsidP="00EC2998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100203F1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 §</w:t>
      </w:r>
    </w:p>
    <w:p w14:paraId="385DE2DB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04D4CF24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31B5AE9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B7B9DBE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05F8107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AE5BEE2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AD8E008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1"/>
        <w:gridCol w:w="4824"/>
      </w:tblGrid>
      <w:tr w:rsidR="00EC2998" w14:paraId="039F995A" w14:textId="77777777" w:rsidTr="00EC2998">
        <w:tc>
          <w:tcPr>
            <w:tcW w:w="4818" w:type="dxa"/>
            <w:hideMark/>
          </w:tcPr>
          <w:p w14:paraId="4D177D87" w14:textId="77777777" w:rsidR="00EC2998" w:rsidRDefault="00EC299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/: Dr. Nemény András :/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br/>
              <w:t>polgármester</w:t>
            </w:r>
          </w:p>
        </w:tc>
        <w:tc>
          <w:tcPr>
            <w:tcW w:w="4820" w:type="dxa"/>
            <w:hideMark/>
          </w:tcPr>
          <w:p w14:paraId="19379018" w14:textId="77777777" w:rsidR="00EC2998" w:rsidRDefault="00EC299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/: Dr. Károlyi Ákos :/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br/>
              <w:t>jegyző</w:t>
            </w:r>
          </w:p>
        </w:tc>
      </w:tr>
    </w:tbl>
    <w:p w14:paraId="46F2A3BD" w14:textId="77777777" w:rsidR="00882898" w:rsidRDefault="00882898" w:rsidP="00EC2998">
      <w:pPr>
        <w:suppressAutoHyphens w:val="0"/>
        <w:rPr>
          <w:rFonts w:ascii="Calibri" w:hAnsi="Calibri" w:cs="Calibri"/>
          <w:sz w:val="22"/>
          <w:szCs w:val="22"/>
        </w:rPr>
      </w:pPr>
    </w:p>
    <w:p w14:paraId="1599924F" w14:textId="77777777" w:rsidR="006E6CC0" w:rsidRDefault="006E6CC0" w:rsidP="00EC2998">
      <w:pPr>
        <w:suppressAutoHyphens w:val="0"/>
        <w:rPr>
          <w:rFonts w:ascii="Calibri" w:hAnsi="Calibri" w:cs="Calibri"/>
          <w:sz w:val="22"/>
          <w:szCs w:val="22"/>
        </w:rPr>
      </w:pPr>
    </w:p>
    <w:p w14:paraId="5343EF37" w14:textId="77777777" w:rsidR="006E6CC0" w:rsidRDefault="006E6CC0" w:rsidP="00EC2998">
      <w:pPr>
        <w:suppressAutoHyphens w:val="0"/>
        <w:rPr>
          <w:rFonts w:ascii="Calibri" w:hAnsi="Calibri" w:cs="Calibri"/>
          <w:sz w:val="22"/>
          <w:szCs w:val="22"/>
        </w:rPr>
      </w:pPr>
    </w:p>
    <w:p w14:paraId="5A870326" w14:textId="77777777" w:rsidR="006E6CC0" w:rsidRDefault="006E6CC0" w:rsidP="00EC2998">
      <w:pPr>
        <w:suppressAutoHyphens w:val="0"/>
        <w:rPr>
          <w:rFonts w:ascii="Calibri" w:hAnsi="Calibri" w:cs="Calibri"/>
          <w:sz w:val="22"/>
          <w:szCs w:val="22"/>
        </w:rPr>
      </w:pPr>
    </w:p>
    <w:p w14:paraId="2DF6F444" w14:textId="77777777" w:rsidR="006E6CC0" w:rsidRPr="002606CA" w:rsidRDefault="006E6CC0" w:rsidP="006E6CC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76059A9C" w14:textId="77777777" w:rsidR="006E6CC0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</w:p>
    <w:p w14:paraId="31B0B7DE" w14:textId="77777777" w:rsidR="006E6CC0" w:rsidRPr="002606CA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</w:p>
    <w:p w14:paraId="50093E91" w14:textId="70E0FAFB" w:rsidR="006E6CC0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2606CA">
        <w:rPr>
          <w:rFonts w:ascii="Calibri" w:hAnsi="Calibri" w:cs="Calibri"/>
          <w:b/>
          <w:bCs/>
          <w:sz w:val="22"/>
          <w:szCs w:val="22"/>
        </w:rPr>
        <w:t>.</w:t>
      </w:r>
      <w:r w:rsidR="006164AA">
        <w:rPr>
          <w:rFonts w:ascii="Calibri" w:hAnsi="Calibri" w:cs="Calibri"/>
          <w:b/>
          <w:bCs/>
          <w:sz w:val="22"/>
          <w:szCs w:val="22"/>
        </w:rPr>
        <w:t xml:space="preserve"> január 31.</w:t>
      </w:r>
    </w:p>
    <w:p w14:paraId="0DB23019" w14:textId="77777777" w:rsidR="006E6CC0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</w:p>
    <w:p w14:paraId="07EBE662" w14:textId="77777777" w:rsidR="006E6CC0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</w:p>
    <w:p w14:paraId="00051A94" w14:textId="77777777" w:rsidR="006E6CC0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</w:p>
    <w:p w14:paraId="5ED95ABC" w14:textId="77777777" w:rsidR="006E6CC0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</w:p>
    <w:p w14:paraId="537AB643" w14:textId="77777777" w:rsidR="006E6CC0" w:rsidRPr="002606CA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</w:p>
    <w:p w14:paraId="25AF197C" w14:textId="77777777" w:rsidR="006E6CC0" w:rsidRPr="002606CA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4971682A" w14:textId="703CFD2D" w:rsidR="006E6CC0" w:rsidRPr="002606CA" w:rsidRDefault="006E6CC0" w:rsidP="006E6CC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>jegyző</w:t>
      </w:r>
    </w:p>
    <w:p w14:paraId="1EB5DCFD" w14:textId="77777777" w:rsidR="006E6CC0" w:rsidRDefault="006E6CC0" w:rsidP="006E6CC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BA58F" w14:textId="77777777" w:rsidR="006E6CC0" w:rsidRPr="005973F0" w:rsidRDefault="006E6CC0" w:rsidP="006E6CC0">
      <w:pPr>
        <w:rPr>
          <w:rFonts w:asciiTheme="minorHAnsi" w:hAnsiTheme="minorHAnsi" w:cstheme="minorHAnsi"/>
          <w:sz w:val="22"/>
          <w:szCs w:val="22"/>
        </w:rPr>
      </w:pPr>
    </w:p>
    <w:p w14:paraId="32EFA0C2" w14:textId="77777777" w:rsidR="006E6CC0" w:rsidRPr="00201849" w:rsidRDefault="006E6CC0" w:rsidP="00EC2998">
      <w:pPr>
        <w:suppressAutoHyphens w:val="0"/>
        <w:rPr>
          <w:rFonts w:ascii="Calibri" w:hAnsi="Calibri" w:cs="Calibri"/>
          <w:sz w:val="22"/>
          <w:szCs w:val="22"/>
        </w:rPr>
      </w:pPr>
    </w:p>
    <w:sectPr w:rsidR="006E6CC0" w:rsidRPr="00201849" w:rsidSect="00EC299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000EB8"/>
    <w:rsid w:val="00100AD1"/>
    <w:rsid w:val="0014502C"/>
    <w:rsid w:val="001C15FB"/>
    <w:rsid w:val="001D274B"/>
    <w:rsid w:val="00201849"/>
    <w:rsid w:val="002415CC"/>
    <w:rsid w:val="002B4719"/>
    <w:rsid w:val="003242BD"/>
    <w:rsid w:val="00335595"/>
    <w:rsid w:val="00360729"/>
    <w:rsid w:val="003D7202"/>
    <w:rsid w:val="003E47B7"/>
    <w:rsid w:val="00501B8D"/>
    <w:rsid w:val="00520857"/>
    <w:rsid w:val="00540112"/>
    <w:rsid w:val="00563F92"/>
    <w:rsid w:val="00585542"/>
    <w:rsid w:val="0058606E"/>
    <w:rsid w:val="005C5823"/>
    <w:rsid w:val="006164AA"/>
    <w:rsid w:val="00667C47"/>
    <w:rsid w:val="006A1CFA"/>
    <w:rsid w:val="006E6CC0"/>
    <w:rsid w:val="00872D14"/>
    <w:rsid w:val="00882898"/>
    <w:rsid w:val="00916331"/>
    <w:rsid w:val="009D4CE1"/>
    <w:rsid w:val="00A26C73"/>
    <w:rsid w:val="00AA4D12"/>
    <w:rsid w:val="00B703CB"/>
    <w:rsid w:val="00BD404F"/>
    <w:rsid w:val="00BE1A60"/>
    <w:rsid w:val="00BF4BC3"/>
    <w:rsid w:val="00CB6374"/>
    <w:rsid w:val="00D16D75"/>
    <w:rsid w:val="00D53EB2"/>
    <w:rsid w:val="00DF13C7"/>
    <w:rsid w:val="00E046C6"/>
    <w:rsid w:val="00EC2998"/>
    <w:rsid w:val="00EC63E8"/>
    <w:rsid w:val="00F62347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C299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Office5</cp:lastModifiedBy>
  <cp:revision>4</cp:revision>
  <cp:lastPrinted>2024-09-16T11:38:00Z</cp:lastPrinted>
  <dcterms:created xsi:type="dcterms:W3CDTF">2025-01-28T13:38:00Z</dcterms:created>
  <dcterms:modified xsi:type="dcterms:W3CDTF">2025-01-30T14:49:00Z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