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5C" w:rsidRPr="0090095C" w:rsidRDefault="0090095C" w:rsidP="0090095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009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397/2024. (XII.19.) Kgy. </w:t>
      </w:r>
      <w:proofErr w:type="gramStart"/>
      <w:r w:rsidRPr="0090095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009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0095C" w:rsidRPr="0090095C" w:rsidRDefault="0090095C" w:rsidP="0090095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Szombathely Megyei Jogú Város Közgyűlése a nemzeti vagyonról szóló 2011. évi CXCVI. törvény 11. §</w:t>
      </w:r>
      <w:proofErr w:type="spellStart"/>
      <w:r w:rsidRPr="0090095C">
        <w:rPr>
          <w:rFonts w:ascii="Calibri" w:eastAsia="Times New Roman" w:hAnsi="Calibri" w:cs="Calibri"/>
          <w:lang w:eastAsia="hu-HU"/>
        </w:rPr>
        <w:t>-</w:t>
      </w:r>
      <w:proofErr w:type="gramStart"/>
      <w:r w:rsidRPr="0090095C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90095C">
        <w:rPr>
          <w:rFonts w:ascii="Calibri" w:eastAsia="Times New Roman" w:hAnsi="Calibri" w:cs="Calibri"/>
          <w:lang w:eastAsia="hu-HU"/>
        </w:rPr>
        <w:t xml:space="preserve">, Magyarország helyi önkormányzatairól szóló 2011. évi CLXXXIX. törvény 13. § (1) bekezdés 8. a.) pontjában, valamint a Szombathely Megyei Jogú Város Önkormányzata vagyonáról szóló 40/2014. (XII.23.) rendelet 11. § a) pontja alapján felhatalmazza a SZOVA Nonprofit </w:t>
      </w:r>
      <w:proofErr w:type="spellStart"/>
      <w:r w:rsidRPr="0090095C">
        <w:rPr>
          <w:rFonts w:ascii="Calibri" w:eastAsia="Times New Roman" w:hAnsi="Calibri" w:cs="Calibri"/>
          <w:lang w:eastAsia="hu-HU"/>
        </w:rPr>
        <w:t>Zrt</w:t>
      </w:r>
      <w:proofErr w:type="spellEnd"/>
      <w:r w:rsidRPr="0090095C">
        <w:rPr>
          <w:rFonts w:ascii="Calibri" w:eastAsia="Times New Roman" w:hAnsi="Calibri" w:cs="Calibri"/>
          <w:lang w:eastAsia="hu-HU"/>
        </w:rPr>
        <w:t xml:space="preserve">. vezérigazgatóját arra, hogy a </w:t>
      </w:r>
      <w:r w:rsidRPr="0090095C">
        <w:rPr>
          <w:rFonts w:ascii="Calibri" w:eastAsia="Times New Roman" w:hAnsi="Calibri" w:cs="Calibri"/>
          <w:bCs/>
          <w:lang w:eastAsia="hu-HU"/>
        </w:rPr>
        <w:t xml:space="preserve">Pálos Károly Családsegítő és Gyermekjóléti Szolgálat, mint használó és a Szombathelyi Vagyonhasznosítási és Városüzemeltetési Nonprofit </w:t>
      </w:r>
      <w:proofErr w:type="spellStart"/>
      <w:r w:rsidRPr="0090095C">
        <w:rPr>
          <w:rFonts w:ascii="Calibri" w:eastAsia="Times New Roman" w:hAnsi="Calibri" w:cs="Calibri"/>
          <w:bCs/>
          <w:lang w:eastAsia="hu-HU"/>
        </w:rPr>
        <w:t>Zrt</w:t>
      </w:r>
      <w:proofErr w:type="spellEnd"/>
      <w:proofErr w:type="gramStart"/>
      <w:r w:rsidRPr="0090095C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90095C">
        <w:rPr>
          <w:rFonts w:ascii="Calibri" w:eastAsia="Times New Roman" w:hAnsi="Calibri" w:cs="Calibri"/>
          <w:bCs/>
          <w:lang w:eastAsia="hu-HU"/>
        </w:rPr>
        <w:t xml:space="preserve"> mint használatba adó között a </w:t>
      </w:r>
      <w:r w:rsidRPr="0090095C">
        <w:rPr>
          <w:rFonts w:ascii="Calibri" w:eastAsia="Times New Roman" w:hAnsi="Calibri" w:cs="Calibri"/>
          <w:b/>
          <w:lang w:eastAsia="hu-HU"/>
        </w:rPr>
        <w:t>Paragvári u. 86.</w:t>
      </w:r>
      <w:r w:rsidRPr="0090095C">
        <w:rPr>
          <w:rFonts w:ascii="Calibri" w:eastAsia="Times New Roman" w:hAnsi="Calibri" w:cs="Calibri"/>
          <w:bCs/>
          <w:lang w:eastAsia="hu-HU"/>
        </w:rPr>
        <w:t xml:space="preserve"> szám alatti ingatlanrészre, illetve a </w:t>
      </w:r>
      <w:r w:rsidRPr="0090095C">
        <w:rPr>
          <w:rFonts w:ascii="Calibri" w:eastAsia="Times New Roman" w:hAnsi="Calibri" w:cs="Calibri"/>
          <w:b/>
          <w:lang w:eastAsia="hu-HU"/>
        </w:rPr>
        <w:t>Karmelita u. 2/C.</w:t>
      </w:r>
      <w:r w:rsidRPr="0090095C">
        <w:rPr>
          <w:rFonts w:ascii="Calibri" w:eastAsia="Times New Roman" w:hAnsi="Calibri" w:cs="Calibri"/>
          <w:bCs/>
          <w:lang w:eastAsia="hu-HU"/>
        </w:rPr>
        <w:t xml:space="preserve"> szám alatti ingatlanrészre vonatkozóan, határozatlan időre fennálló használatba-adási megállapodásokat az alábbiak szerint módosítsa:</w:t>
      </w: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„7. pont 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Szerződő Felek megállapodnak abban, hogy </w:t>
      </w:r>
      <w:r w:rsidRPr="0090095C">
        <w:rPr>
          <w:rFonts w:ascii="Calibri" w:eastAsia="Times New Roman" w:hAnsi="Calibri" w:cs="Calibri"/>
          <w:strike/>
          <w:lang w:eastAsia="hu-HU"/>
        </w:rPr>
        <w:t>az ingatlan</w:t>
      </w:r>
      <w:r w:rsidRPr="0090095C">
        <w:rPr>
          <w:rFonts w:ascii="Calibri" w:eastAsia="Times New Roman" w:hAnsi="Calibri" w:cs="Calibri"/>
          <w:lang w:eastAsia="hu-HU"/>
        </w:rPr>
        <w:t xml:space="preserve"> </w:t>
      </w: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az </w:t>
      </w:r>
      <w:proofErr w:type="spellStart"/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albetét</w:t>
      </w:r>
      <w:proofErr w:type="spellEnd"/>
      <w:r w:rsidRPr="0090095C">
        <w:rPr>
          <w:rFonts w:ascii="Calibri" w:eastAsia="Times New Roman" w:hAnsi="Calibri" w:cs="Calibri"/>
          <w:lang w:eastAsia="hu-HU"/>
        </w:rPr>
        <w:t xml:space="preserve"> fenntartásával, üzemeltetésével kapcsolatos költségek csak a Használó által </w:t>
      </w: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100%-ban,</w:t>
      </w:r>
      <w:r w:rsidRPr="0090095C">
        <w:rPr>
          <w:rFonts w:ascii="Calibri" w:eastAsia="Times New Roman" w:hAnsi="Calibri" w:cs="Calibri"/>
          <w:lang w:eastAsia="hu-HU"/>
        </w:rPr>
        <w:t xml:space="preserve"> kizárólagosan használt helyiségekre vonatkozóan kerülnek kiszámításra.</w:t>
      </w: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8. pont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Szerződő Felek megállapodnak abban, az ingyenes használat költségeiről a Használatba-adó </w:t>
      </w:r>
      <w:r w:rsidRPr="0090095C">
        <w:rPr>
          <w:rFonts w:ascii="Calibri" w:eastAsia="Times New Roman" w:hAnsi="Calibri" w:cs="Calibri"/>
          <w:b/>
          <w:bCs/>
          <w:i/>
          <w:iCs/>
          <w:color w:val="212121"/>
          <w:lang w:eastAsia="hu-HU"/>
        </w:rPr>
        <w:t>2025. január</w:t>
      </w:r>
      <w:r w:rsidRPr="0090095C">
        <w:rPr>
          <w:rFonts w:ascii="Calibri" w:eastAsia="Times New Roman" w:hAnsi="Calibri" w:cs="Calibri"/>
          <w:color w:val="212121"/>
          <w:lang w:eastAsia="hu-HU"/>
        </w:rPr>
        <w:t xml:space="preserve"> </w:t>
      </w: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hónaptól </w:t>
      </w:r>
      <w:r w:rsidRPr="0090095C">
        <w:rPr>
          <w:rFonts w:ascii="Calibri" w:eastAsia="Times New Roman" w:hAnsi="Calibri" w:cs="Calibri"/>
          <w:lang w:eastAsia="hu-HU"/>
        </w:rPr>
        <w:t xml:space="preserve">kezdődően havonta – az előző időszak költségeit alapul véve – előleg számlát állít ki és postáz a Használó részére. A kiszámlázott előleget a Használó köteles – a számlán szereplő fizetési határidő figyelembevételével – megfizetni. 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Az ingyenes használat tényleges költségeiről, illetőleg a befizetett előlegről a Használtba-adó a tárgyévet követő év június 30. napjáig elszámol a Használóval. Az elszámolás során az esetleges hiány előírására vagy az esetleges túlfizetés fizetendő előlegbe történő beszámítására kerül sor. A Használó köteles az esetleges hiány összegéről kiállított számlában szereplő összeg kiegyenlítéséről 30 (harminc) napon belül gondoskodni. Fizetési késedelem esetén a Használó a mindenkor hatályos Ptk. szerinti késedelmi kamatot köteles a Használatba-adó részére fizetni.</w:t>
      </w: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9. pont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Szerződő Felek megállapodnak abban, hogy az </w:t>
      </w:r>
      <w:proofErr w:type="spellStart"/>
      <w:r w:rsidRPr="0090095C">
        <w:rPr>
          <w:rFonts w:ascii="Calibri" w:eastAsia="Times New Roman" w:hAnsi="Calibri" w:cs="Calibri"/>
          <w:lang w:eastAsia="hu-HU"/>
        </w:rPr>
        <w:t>albetétet</w:t>
      </w:r>
      <w:proofErr w:type="spellEnd"/>
      <w:r w:rsidRPr="0090095C">
        <w:rPr>
          <w:rFonts w:ascii="Calibri" w:eastAsia="Times New Roman" w:hAnsi="Calibri" w:cs="Calibri"/>
          <w:lang w:eastAsia="hu-HU"/>
        </w:rPr>
        <w:t xml:space="preserve"> érintő közüzemi szolgáltatások fizetésére az alábbiak szerint kerül sor:</w:t>
      </w:r>
    </w:p>
    <w:p w:rsidR="0090095C" w:rsidRPr="0090095C" w:rsidRDefault="0090095C" w:rsidP="0090095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Használatba-adó által az 1. pontban körülírt </w:t>
      </w:r>
      <w:r w:rsidRPr="0090095C">
        <w:rPr>
          <w:rFonts w:ascii="Calibri" w:eastAsia="Times New Roman" w:hAnsi="Calibri" w:cs="Calibri"/>
          <w:strike/>
          <w:lang w:eastAsia="hu-HU"/>
        </w:rPr>
        <w:t>ingatlanra</w:t>
      </w:r>
      <w:r w:rsidRPr="0090095C">
        <w:rPr>
          <w:rFonts w:ascii="Calibri" w:eastAsia="Times New Roman" w:hAnsi="Calibri" w:cs="Calibri"/>
          <w:color w:val="FF0000"/>
          <w:lang w:eastAsia="hu-HU"/>
        </w:rPr>
        <w:t xml:space="preserve"> </w:t>
      </w:r>
      <w:proofErr w:type="spellStart"/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albetétre</w:t>
      </w:r>
      <w:proofErr w:type="spellEnd"/>
      <w:r w:rsidRPr="0090095C">
        <w:rPr>
          <w:rFonts w:ascii="Calibri" w:eastAsia="Times New Roman" w:hAnsi="Calibri" w:cs="Calibri"/>
          <w:color w:val="70AD47"/>
          <w:lang w:eastAsia="hu-HU"/>
        </w:rPr>
        <w:t xml:space="preserve"> </w:t>
      </w:r>
      <w:r w:rsidRPr="0090095C">
        <w:rPr>
          <w:rFonts w:ascii="Calibri" w:eastAsia="Times New Roman" w:hAnsi="Calibri" w:cs="Calibri"/>
          <w:lang w:eastAsia="hu-HU"/>
        </w:rPr>
        <w:t>fordított karbantartási költségek (a hatályos adójogszabályok szerint tovább számlázva),</w:t>
      </w:r>
    </w:p>
    <w:p w:rsidR="0090095C" w:rsidRPr="0090095C" w:rsidRDefault="0090095C" w:rsidP="0090095C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víz- és csatornaszolgáltatás díja fogyasztás alapján (a hatályos adójogszabályok szerint tovább számlázva).</w:t>
      </w:r>
    </w:p>
    <w:p w:rsidR="0090095C" w:rsidRPr="0090095C" w:rsidRDefault="0090095C" w:rsidP="0090095C">
      <w:pPr>
        <w:ind w:left="1080"/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strike/>
          <w:color w:val="FF0000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A közüzemi költséget (áramszolgáltatás díja) a Használó közvetlenül a közüzemi szolgáltatók részére – a közüzemi szolgáltatókkal kötött szerződés szerint – köteles megfizetni.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Használó a hulladékszállításra vonatkozóan a társasház hulladékgyűjtő edényét használhatja. </w:t>
      </w:r>
    </w:p>
    <w:p w:rsidR="0090095C" w:rsidRPr="0090095C" w:rsidRDefault="0090095C" w:rsidP="0090095C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A fent körülírt helyiség a lakóépület teljes alapterületéből 9,8 %-ot tesz ki. Az épületet érintő közös helyiségekre jutó költségek (közüzemi és egyéb) a fenti százalékérték arányában kerülnek tovább hárításra:</w:t>
      </w:r>
    </w:p>
    <w:p w:rsidR="0090095C" w:rsidRPr="0090095C" w:rsidRDefault="0090095C" w:rsidP="0090095C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közös világítás</w:t>
      </w:r>
    </w:p>
    <w:p w:rsidR="0090095C" w:rsidRPr="0090095C" w:rsidRDefault="0090095C" w:rsidP="0090095C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közös fűtés</w:t>
      </w:r>
    </w:p>
    <w:p w:rsidR="0090095C" w:rsidRPr="0090095C" w:rsidRDefault="0090095C" w:rsidP="0090095C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közös hulladékelszállítás</w:t>
      </w:r>
    </w:p>
    <w:p w:rsidR="0090095C" w:rsidRPr="0090095C" w:rsidRDefault="0090095C" w:rsidP="0090095C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közös takarítás</w:t>
      </w:r>
    </w:p>
    <w:p w:rsidR="0090095C" w:rsidRPr="0090095C" w:rsidRDefault="0090095C" w:rsidP="0090095C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közös </w:t>
      </w:r>
      <w:proofErr w:type="spellStart"/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rágcsálóírtás</w:t>
      </w:r>
      <w:proofErr w:type="spellEnd"/>
    </w:p>
    <w:p w:rsidR="0090095C" w:rsidRPr="0090095C" w:rsidRDefault="0090095C" w:rsidP="0090095C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0095C">
        <w:rPr>
          <w:rFonts w:ascii="Calibri" w:eastAsia="Times New Roman" w:hAnsi="Calibri" w:cs="Calibri"/>
          <w:b/>
          <w:bCs/>
          <w:i/>
          <w:iCs/>
          <w:lang w:eastAsia="hu-HU"/>
        </w:rPr>
        <w:t>A biztosítási díj négyzetméter-arányosan kerül tovább hárításra.</w:t>
      </w:r>
    </w:p>
    <w:p w:rsidR="0090095C" w:rsidRPr="0090095C" w:rsidRDefault="0090095C" w:rsidP="0090095C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>A Használó jelen szerződés aláírásával hozzájárul ahhoz, hogy az ingatlan használata során keletkezett közüzemi, közszolgáltatási és egyéb hátralékokról a Használatba-adó a szolgáltatótól tudomást szerezhessen, felvilágosítást kérhessen, illetőleg ezen adatokat felhasználhassa.”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90095C">
        <w:rPr>
          <w:rFonts w:ascii="Calibri" w:eastAsia="Times New Roman" w:hAnsi="Calibri" w:cs="Calibri"/>
          <w:lang w:eastAsia="hu-HU"/>
        </w:rPr>
        <w:t>Zrt-t</w:t>
      </w:r>
      <w:proofErr w:type="spellEnd"/>
      <w:r w:rsidRPr="0090095C">
        <w:rPr>
          <w:rFonts w:ascii="Calibri" w:eastAsia="Times New Roman" w:hAnsi="Calibri" w:cs="Calibri"/>
          <w:lang w:eastAsia="hu-HU"/>
        </w:rPr>
        <w:t>, mint az ingatlanok kezelőjét az ingyenes használati megállapodások módosítására.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0095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0095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0095C">
        <w:rPr>
          <w:rFonts w:ascii="Calibri" w:eastAsia="Times New Roman" w:hAnsi="Calibri" w:cs="Calibri"/>
          <w:b/>
          <w:bCs/>
          <w:lang w:eastAsia="hu-HU"/>
        </w:rPr>
        <w:tab/>
      </w:r>
      <w:r w:rsidRPr="0090095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0095C" w:rsidRPr="0090095C" w:rsidRDefault="0090095C" w:rsidP="0090095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0095C">
        <w:rPr>
          <w:rFonts w:ascii="Calibri" w:eastAsia="Times New Roman" w:hAnsi="Calibri" w:cs="Calibri"/>
          <w:lang w:eastAsia="hu-HU"/>
        </w:rPr>
        <w:t>Dr. Horváth Attila alpolgármester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ab/>
      </w:r>
      <w:r w:rsidRPr="0090095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ab/>
        <w:t xml:space="preserve"> </w:t>
      </w:r>
      <w:r w:rsidRPr="0090095C">
        <w:rPr>
          <w:rFonts w:ascii="Calibri" w:eastAsia="Times New Roman" w:hAnsi="Calibri" w:cs="Calibri"/>
          <w:lang w:eastAsia="hu-HU"/>
        </w:rPr>
        <w:tab/>
      </w:r>
      <w:r w:rsidRPr="0090095C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90095C" w:rsidRPr="0090095C" w:rsidRDefault="0090095C" w:rsidP="0090095C">
      <w:pPr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lastRenderedPageBreak/>
        <w:t xml:space="preserve">                             Dr. Gyuráczné dr. Speier Anikó, a Városüzemeltetési és Városfejlesztési Osztály vezetője</w:t>
      </w:r>
    </w:p>
    <w:p w:rsidR="0090095C" w:rsidRPr="0090095C" w:rsidRDefault="0090095C" w:rsidP="0090095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90095C">
        <w:rPr>
          <w:rFonts w:ascii="Calibri" w:eastAsia="Times New Roman" w:hAnsi="Calibri" w:cs="Calibri"/>
          <w:lang w:eastAsia="hu-HU"/>
        </w:rPr>
        <w:t>Zrt</w:t>
      </w:r>
      <w:proofErr w:type="spellEnd"/>
      <w:r w:rsidRPr="0090095C">
        <w:rPr>
          <w:rFonts w:ascii="Calibri" w:eastAsia="Times New Roman" w:hAnsi="Calibri" w:cs="Calibri"/>
          <w:lang w:eastAsia="hu-HU"/>
        </w:rPr>
        <w:t>. vezérigazgatója)</w:t>
      </w:r>
    </w:p>
    <w:p w:rsidR="0090095C" w:rsidRPr="0090095C" w:rsidRDefault="0090095C" w:rsidP="0090095C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0095C" w:rsidRPr="0090095C" w:rsidRDefault="0090095C" w:rsidP="0090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0095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0095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D711C"/>
    <w:multiLevelType w:val="hybridMultilevel"/>
    <w:tmpl w:val="FFCE28D0"/>
    <w:lvl w:ilvl="0" w:tplc="4176B8AA">
      <w:start w:val="9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2025-01-14T07:05:00Z</dcterms:created>
  <dcterms:modified xsi:type="dcterms:W3CDTF">2025-01-14T07:05:00Z</dcterms:modified>
</cp:coreProperties>
</file>