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D6" w:rsidRPr="00330AD6" w:rsidRDefault="00330AD6" w:rsidP="00330A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30AD6">
        <w:rPr>
          <w:rFonts w:ascii="Calibri" w:eastAsia="Times New Roman" w:hAnsi="Calibri" w:cs="Calibri"/>
          <w:b/>
          <w:u w:val="single"/>
          <w:lang w:eastAsia="hu-HU"/>
        </w:rPr>
        <w:t xml:space="preserve">396/2024. (XII. 19.) Kgy. </w:t>
      </w:r>
      <w:proofErr w:type="gramStart"/>
      <w:r w:rsidRPr="00330AD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30A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30AD6" w:rsidRPr="00330AD6" w:rsidRDefault="00330AD6" w:rsidP="00330AD6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330AD6" w:rsidRPr="00330AD6" w:rsidRDefault="00330AD6" w:rsidP="00330AD6">
      <w:pPr>
        <w:jc w:val="both"/>
        <w:rPr>
          <w:rFonts w:ascii="Calibri" w:eastAsia="Times New Roman" w:hAnsi="Calibri" w:cs="Calibri"/>
          <w:lang w:eastAsia="hu-HU"/>
        </w:rPr>
      </w:pPr>
      <w:r w:rsidRPr="00330AD6">
        <w:rPr>
          <w:rFonts w:ascii="Calibri" w:eastAsia="Calibri" w:hAnsi="Calibri" w:cs="Calibri"/>
          <w:bCs/>
        </w:rPr>
        <w:t xml:space="preserve">Szombathely Megyei Jogú Város Közgyűlése </w:t>
      </w:r>
      <w:r w:rsidRPr="00330AD6">
        <w:rPr>
          <w:rFonts w:ascii="Calibri" w:eastAsia="Times New Roman" w:hAnsi="Calibri" w:cs="Calibri"/>
          <w:lang w:eastAsia="hu-HU"/>
        </w:rPr>
        <w:t xml:space="preserve">megerősíti, hogy a </w:t>
      </w:r>
      <w:r w:rsidRPr="00330AD6">
        <w:rPr>
          <w:rFonts w:ascii="Calibri" w:eastAsia="Times New Roman" w:hAnsi="Calibri" w:cs="Calibri"/>
          <w:b/>
          <w:lang w:eastAsia="hu-HU"/>
        </w:rPr>
        <w:t xml:space="preserve">Horvát Nemzetiségi Önkormányzat </w:t>
      </w:r>
      <w:r w:rsidRPr="00330AD6">
        <w:rPr>
          <w:rFonts w:ascii="Calibri" w:eastAsia="Times New Roman" w:hAnsi="Calibri" w:cs="Calibri"/>
          <w:lang w:eastAsia="hu-HU"/>
        </w:rPr>
        <w:t>elhelyezését – a nemzetiségek jogairól szóló 2011. évi CLXXIX. törvény 80. §</w:t>
      </w:r>
      <w:proofErr w:type="spellStart"/>
      <w:r w:rsidRPr="00330AD6">
        <w:rPr>
          <w:rFonts w:ascii="Calibri" w:eastAsia="Times New Roman" w:hAnsi="Calibri" w:cs="Calibri"/>
          <w:lang w:eastAsia="hu-HU"/>
        </w:rPr>
        <w:t>-</w:t>
      </w:r>
      <w:proofErr w:type="gramStart"/>
      <w:r w:rsidRPr="00330AD6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330AD6">
        <w:rPr>
          <w:rFonts w:ascii="Calibri" w:eastAsia="Times New Roman" w:hAnsi="Calibri" w:cs="Calibri"/>
          <w:lang w:eastAsia="hu-HU"/>
        </w:rPr>
        <w:t xml:space="preserve"> alapján – a 247/2018. (IX.13.) Kgy. </w:t>
      </w:r>
      <w:proofErr w:type="gramStart"/>
      <w:r w:rsidRPr="00330AD6">
        <w:rPr>
          <w:rFonts w:ascii="Calibri" w:eastAsia="Times New Roman" w:hAnsi="Calibri" w:cs="Calibri"/>
          <w:lang w:eastAsia="hu-HU"/>
        </w:rPr>
        <w:t>számú</w:t>
      </w:r>
      <w:proofErr w:type="gramEnd"/>
      <w:r w:rsidRPr="00330AD6">
        <w:rPr>
          <w:rFonts w:ascii="Calibri" w:eastAsia="Times New Roman" w:hAnsi="Calibri" w:cs="Calibri"/>
          <w:lang w:eastAsia="hu-HU"/>
        </w:rPr>
        <w:t xml:space="preserve"> határozatával módosított 33/2018. (II.15.) Kgy. </w:t>
      </w:r>
      <w:proofErr w:type="gramStart"/>
      <w:r w:rsidRPr="00330AD6">
        <w:rPr>
          <w:rFonts w:ascii="Calibri" w:eastAsia="Times New Roman" w:hAnsi="Calibri" w:cs="Calibri"/>
          <w:lang w:eastAsia="hu-HU"/>
        </w:rPr>
        <w:t>számú</w:t>
      </w:r>
      <w:proofErr w:type="gramEnd"/>
      <w:r w:rsidRPr="00330AD6">
        <w:rPr>
          <w:rFonts w:ascii="Calibri" w:eastAsia="Times New Roman" w:hAnsi="Calibri" w:cs="Calibri"/>
          <w:lang w:eastAsia="hu-HU"/>
        </w:rPr>
        <w:t xml:space="preserve"> határozatában foglaltak alapján biztosítja.</w:t>
      </w:r>
    </w:p>
    <w:p w:rsidR="00330AD6" w:rsidRPr="00330AD6" w:rsidRDefault="00330AD6" w:rsidP="00330AD6">
      <w:pPr>
        <w:jc w:val="both"/>
        <w:rPr>
          <w:rFonts w:ascii="Calibri" w:eastAsia="Times New Roman" w:hAnsi="Calibri" w:cs="Calibri"/>
          <w:u w:val="single"/>
          <w:lang w:eastAsia="hu-HU"/>
        </w:rPr>
      </w:pPr>
    </w:p>
    <w:p w:rsidR="00330AD6" w:rsidRPr="00330AD6" w:rsidRDefault="00330AD6" w:rsidP="00330AD6">
      <w:pPr>
        <w:jc w:val="both"/>
        <w:rPr>
          <w:rFonts w:ascii="Calibri" w:eastAsia="Times New Roman" w:hAnsi="Calibri" w:cs="Calibri"/>
          <w:lang w:eastAsia="hu-HU"/>
        </w:rPr>
      </w:pPr>
      <w:r w:rsidRPr="00330AD6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330A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30AD6" w:rsidRPr="00330AD6" w:rsidRDefault="00330AD6" w:rsidP="00330AD6">
      <w:pPr>
        <w:jc w:val="both"/>
        <w:rPr>
          <w:rFonts w:ascii="Calibri" w:eastAsia="Times New Roman" w:hAnsi="Calibri" w:cs="Calibri"/>
          <w:lang w:eastAsia="hu-HU"/>
        </w:rPr>
      </w:pPr>
      <w:r w:rsidRPr="00330AD6">
        <w:rPr>
          <w:rFonts w:ascii="Calibri" w:eastAsia="Times New Roman" w:hAnsi="Calibri" w:cs="Calibri"/>
          <w:lang w:eastAsia="hu-HU"/>
        </w:rPr>
        <w:t xml:space="preserve">                           </w:t>
      </w:r>
      <w:r w:rsidRPr="00330A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330AD6" w:rsidRPr="00330AD6" w:rsidRDefault="00330AD6" w:rsidP="00330AD6">
      <w:pPr>
        <w:jc w:val="both"/>
        <w:rPr>
          <w:rFonts w:ascii="Calibri" w:eastAsia="Times New Roman" w:hAnsi="Calibri" w:cs="Calibri"/>
          <w:lang w:eastAsia="hu-HU"/>
        </w:rPr>
      </w:pPr>
      <w:r w:rsidRPr="00330AD6">
        <w:rPr>
          <w:rFonts w:ascii="Calibri" w:eastAsia="Times New Roman" w:hAnsi="Calibri" w:cs="Calibri"/>
          <w:lang w:eastAsia="hu-HU"/>
        </w:rPr>
        <w:tab/>
      </w:r>
      <w:r w:rsidRPr="00330A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30AD6" w:rsidRPr="00330AD6" w:rsidRDefault="00330AD6" w:rsidP="00330AD6">
      <w:pPr>
        <w:jc w:val="both"/>
        <w:rPr>
          <w:rFonts w:ascii="Calibri" w:eastAsia="Times New Roman" w:hAnsi="Calibri" w:cs="Calibri"/>
          <w:lang w:eastAsia="hu-HU"/>
        </w:rPr>
      </w:pPr>
      <w:r w:rsidRPr="00330AD6">
        <w:rPr>
          <w:rFonts w:ascii="Calibri" w:eastAsia="Times New Roman" w:hAnsi="Calibri" w:cs="Calibri"/>
          <w:lang w:eastAsia="hu-HU"/>
        </w:rPr>
        <w:tab/>
      </w:r>
      <w:r w:rsidRPr="00330AD6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330AD6" w:rsidRPr="00330AD6" w:rsidRDefault="00330AD6" w:rsidP="00330AD6">
      <w:pPr>
        <w:jc w:val="both"/>
        <w:rPr>
          <w:rFonts w:ascii="Calibri" w:eastAsia="Times New Roman" w:hAnsi="Calibri" w:cs="Calibri"/>
          <w:lang w:eastAsia="hu-HU"/>
        </w:rPr>
      </w:pPr>
      <w:r w:rsidRPr="00330AD6">
        <w:rPr>
          <w:rFonts w:ascii="Calibri" w:eastAsia="Times New Roman" w:hAnsi="Calibri" w:cs="Calibri"/>
          <w:lang w:eastAsia="hu-HU"/>
        </w:rPr>
        <w:t xml:space="preserve">                             Dr. Gyuráczné dr. Speier Anikó, a Városüzemeltetési és Városfejlesztési Osztály vezetője) </w:t>
      </w:r>
    </w:p>
    <w:p w:rsidR="00330AD6" w:rsidRPr="00330AD6" w:rsidRDefault="00330AD6" w:rsidP="00330AD6">
      <w:pPr>
        <w:jc w:val="both"/>
        <w:rPr>
          <w:rFonts w:ascii="Calibri" w:eastAsia="Times New Roman" w:hAnsi="Calibri" w:cs="Calibri"/>
          <w:lang w:eastAsia="hu-HU"/>
        </w:rPr>
      </w:pPr>
    </w:p>
    <w:p w:rsidR="00330AD6" w:rsidRPr="00330AD6" w:rsidRDefault="00330AD6" w:rsidP="00330AD6">
      <w:pPr>
        <w:jc w:val="both"/>
        <w:rPr>
          <w:rFonts w:ascii="Calibri" w:eastAsia="Times New Roman" w:hAnsi="Calibri" w:cs="Calibri"/>
          <w:bCs/>
          <w:lang w:eastAsia="hu-HU"/>
        </w:rPr>
      </w:pPr>
      <w:r w:rsidRPr="00330AD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30AD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90603"/>
    <w:rsid w:val="001A1356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A77824"/>
    <w:rsid w:val="00AA2973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2025-01-14T07:04:00Z</dcterms:created>
  <dcterms:modified xsi:type="dcterms:W3CDTF">2025-01-14T07:04:00Z</dcterms:modified>
</cp:coreProperties>
</file>