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3AD3E" w14:textId="77777777" w:rsidR="007C33D4" w:rsidRPr="00F2254C" w:rsidRDefault="007C33D4" w:rsidP="007C33D4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301/2024. (XII.16.) GJB számú határozat</w:t>
      </w:r>
    </w:p>
    <w:p w14:paraId="332A224E" w14:textId="77777777" w:rsidR="007C33D4" w:rsidRPr="00F2254C" w:rsidRDefault="007C33D4" w:rsidP="007C33D4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272CAB2" w14:textId="77777777" w:rsidR="007C33D4" w:rsidRPr="00F2254C" w:rsidRDefault="007C33D4" w:rsidP="007C33D4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>A Gazdasági és Jogi Bizottság a „</w:t>
      </w:r>
      <w:r w:rsidRPr="00F2254C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F2254C">
        <w:rPr>
          <w:rFonts w:asciiTheme="minorHAnsi" w:hAnsiTheme="minorHAnsi" w:cstheme="minorHAnsi"/>
          <w:bCs/>
          <w:szCs w:val="22"/>
        </w:rPr>
        <w:t>” című előterjesztést megtárgyalta, és a szombathelyi 1006/6 hrsz.-ú, természetben a Farkas Károly utcában található ingatlanon felépített társasház 1006/6/A/2-3 hrsz.-ú, 1006/6/A/6-7 hrsz.-ú, 1006/6/A/10-11 hrsz.-ú, 1006/6/A/13-15 hrsz.-ú és 1006/6/A/18-20 hrsz.-ú, „lakás” megnevezésű önálló ingatlanait érintő elővásárlási joggal kapcsolatos döntés meghozataláról szóló I. határozati javaslatot az előterjesztésben foglaltak szerint javasolja a Közgyűlésnek elfogadásra.</w:t>
      </w:r>
    </w:p>
    <w:p w14:paraId="38D70FFE" w14:textId="77777777" w:rsidR="007C33D4" w:rsidRPr="00F2254C" w:rsidRDefault="007C33D4" w:rsidP="007C33D4">
      <w:pPr>
        <w:jc w:val="both"/>
        <w:rPr>
          <w:rFonts w:asciiTheme="minorHAnsi" w:hAnsiTheme="minorHAnsi" w:cstheme="minorHAnsi"/>
          <w:bCs/>
          <w:szCs w:val="22"/>
        </w:rPr>
      </w:pPr>
    </w:p>
    <w:p w14:paraId="2D8D4A88" w14:textId="77777777" w:rsidR="007C33D4" w:rsidRPr="00F2254C" w:rsidRDefault="007C33D4" w:rsidP="007C33D4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0711348" w14:textId="77777777" w:rsidR="007C33D4" w:rsidRPr="00F2254C" w:rsidRDefault="007C33D4" w:rsidP="007C33D4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CFD7CC3" w14:textId="77777777" w:rsidR="007C33D4" w:rsidRPr="00F2254C" w:rsidRDefault="007C33D4" w:rsidP="007C33D4">
      <w:pPr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vezetője/</w:t>
      </w:r>
    </w:p>
    <w:p w14:paraId="13A802E2" w14:textId="77777777" w:rsidR="007C33D4" w:rsidRPr="00F2254C" w:rsidRDefault="007C33D4" w:rsidP="007C33D4">
      <w:pPr>
        <w:jc w:val="both"/>
        <w:rPr>
          <w:rFonts w:asciiTheme="minorHAnsi" w:hAnsiTheme="minorHAnsi" w:cstheme="minorHAnsi"/>
          <w:bCs/>
          <w:szCs w:val="22"/>
        </w:rPr>
      </w:pPr>
    </w:p>
    <w:p w14:paraId="2F835ADD" w14:textId="77777777" w:rsidR="007C33D4" w:rsidRPr="00F2254C" w:rsidRDefault="007C33D4" w:rsidP="007C33D4">
      <w:pPr>
        <w:jc w:val="both"/>
        <w:rPr>
          <w:rFonts w:asciiTheme="minorHAnsi" w:hAnsiTheme="minorHAnsi" w:cstheme="minorHAnsi"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F2254C">
        <w:rPr>
          <w:rFonts w:asciiTheme="minorHAnsi" w:hAnsiTheme="minorHAnsi" w:cstheme="minorHAnsi"/>
          <w:bCs/>
          <w:szCs w:val="22"/>
        </w:rPr>
        <w:tab/>
        <w:t>2024. december 19.</w:t>
      </w:r>
    </w:p>
    <w:p w14:paraId="5D41A40E" w14:textId="77777777" w:rsidR="007C33D4" w:rsidRPr="00F2254C" w:rsidRDefault="007C33D4" w:rsidP="007C33D4">
      <w:pPr>
        <w:rPr>
          <w:rFonts w:asciiTheme="minorHAnsi" w:hAnsiTheme="minorHAnsi" w:cstheme="minorHAnsi"/>
          <w:szCs w:val="22"/>
        </w:rPr>
      </w:pPr>
    </w:p>
    <w:p w14:paraId="3A3F89C6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3D4"/>
    <w:rsid w:val="000006E7"/>
    <w:rsid w:val="007C33D4"/>
    <w:rsid w:val="00CE5FBD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4F1C5"/>
  <w15:chartTrackingRefBased/>
  <w15:docId w15:val="{5B2054B8-115E-4F13-99A3-F9C4DB2D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C33D4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0FFC4E-12A4-42FE-967A-5CC1660AE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ED040E-7CB9-4367-A64B-EA4B6A4C11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7E26E0-DF05-41A0-970C-ACDFD26D2D27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708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2024-12-17T12:42:00Z</dcterms:created>
  <dcterms:modified xsi:type="dcterms:W3CDTF">2024-12-17T12:50:00Z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