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CB0F" w14:textId="77777777" w:rsidR="00CD5C73" w:rsidRPr="00984DE2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84DE2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345FF410" w:rsidR="001B752A" w:rsidRPr="00984DE2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984DE2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92E998B" w14:textId="77777777" w:rsidR="00A726DB" w:rsidRPr="00984DE2" w:rsidRDefault="00A726DB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>Fenntarthatósági és Klímastratégiai Szakmai Bizottságának</w:t>
      </w:r>
    </w:p>
    <w:p w14:paraId="7D64617F" w14:textId="4C07254B" w:rsidR="00CD5C73" w:rsidRPr="00984DE2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>20</w:t>
      </w:r>
      <w:r w:rsidR="00D93F69" w:rsidRPr="00984DE2">
        <w:rPr>
          <w:rFonts w:asciiTheme="minorHAnsi" w:hAnsiTheme="minorHAnsi" w:cstheme="minorHAnsi"/>
          <w:bCs/>
          <w:sz w:val="22"/>
          <w:szCs w:val="22"/>
        </w:rPr>
        <w:t>2</w:t>
      </w:r>
      <w:r w:rsidR="00DD1896" w:rsidRPr="00984DE2">
        <w:rPr>
          <w:rFonts w:asciiTheme="minorHAnsi" w:hAnsiTheme="minorHAnsi" w:cstheme="minorHAnsi"/>
          <w:bCs/>
          <w:sz w:val="22"/>
          <w:szCs w:val="22"/>
        </w:rPr>
        <w:t>4</w:t>
      </w:r>
      <w:r w:rsidRPr="00984DE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39" w:rsidRPr="00984DE2">
        <w:rPr>
          <w:rFonts w:asciiTheme="minorHAnsi" w:hAnsiTheme="minorHAnsi" w:cstheme="minorHAnsi"/>
          <w:bCs/>
          <w:sz w:val="22"/>
          <w:szCs w:val="22"/>
        </w:rPr>
        <w:t>november 2</w:t>
      </w:r>
      <w:r w:rsidR="00A726DB" w:rsidRPr="00984DE2">
        <w:rPr>
          <w:rFonts w:asciiTheme="minorHAnsi" w:hAnsiTheme="minorHAnsi" w:cstheme="minorHAnsi"/>
          <w:bCs/>
          <w:sz w:val="22"/>
          <w:szCs w:val="22"/>
        </w:rPr>
        <w:t>7</w:t>
      </w:r>
      <w:r w:rsidRPr="00984DE2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7129" w14:textId="77777777" w:rsidR="00A726DB" w:rsidRPr="00984DE2" w:rsidRDefault="00A726DB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7D2DF13F" w:rsidR="00CD5C73" w:rsidRPr="00984DE2" w:rsidRDefault="00363AC7" w:rsidP="00CD5C7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84DE2">
        <w:rPr>
          <w:rFonts w:asciiTheme="minorHAnsi" w:hAnsiTheme="minorHAnsi" w:cstheme="minorHAnsi"/>
          <w:i/>
          <w:sz w:val="22"/>
          <w:szCs w:val="22"/>
        </w:rPr>
        <w:t>Javaslat elektromos autótöltő állomások üzemeltetésére vonatkozó állásfoglalás meghozatalára</w:t>
      </w:r>
    </w:p>
    <w:p w14:paraId="7A1A9559" w14:textId="77777777" w:rsidR="00CD5C73" w:rsidRPr="00984DE2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8BA25" w14:textId="7F535426" w:rsidR="00A726DB" w:rsidRPr="00984DE2" w:rsidRDefault="00363AC7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>Szombathely Megyei Jogú Város Önkormányzata a GZR-T-Ö-2016-0070 azonosító számú „Jedlik Ányos Terv” Elektromos töltőállomás alprogram helyi önkormányzatok részére megnevezésű pályázat keretében 5 db elektromos autó töltőállomás telepítésére nyert támogatást.</w:t>
      </w:r>
    </w:p>
    <w:p w14:paraId="208E2767" w14:textId="77777777" w:rsidR="00363AC7" w:rsidRPr="00984DE2" w:rsidRDefault="00363AC7" w:rsidP="00A726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D1B7C" w14:textId="7395744E" w:rsidR="00363AC7" w:rsidRPr="00363AC7" w:rsidRDefault="00363AC7" w:rsidP="00984DE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4DE2">
        <w:rPr>
          <w:rFonts w:asciiTheme="minorHAnsi" w:hAnsiTheme="minorHAnsi" w:cstheme="minorHAnsi"/>
          <w:sz w:val="22"/>
          <w:szCs w:val="22"/>
        </w:rPr>
        <w:t>Az e-töltők telepítése 2019-ben megtörtént az alábbi helyeken</w:t>
      </w:r>
      <w:r w:rsidR="00984DE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2413"/>
        <w:gridCol w:w="1667"/>
      </w:tblGrid>
      <w:tr w:rsidR="00363AC7" w:rsidRPr="00984DE2" w14:paraId="0A78C361" w14:textId="77777777" w:rsidTr="00984DE2">
        <w:trPr>
          <w:trHeight w:val="388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41B6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Töltő típusa („A”, „B”, „C”)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988B" w14:textId="2A337160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984DE2">
              <w:rPr>
                <w:rFonts w:asciiTheme="minorHAnsi" w:eastAsia="Calibri" w:hAnsiTheme="minorHAnsi" w:cstheme="minorHAnsi"/>
                <w:sz w:val="22"/>
                <w:szCs w:val="22"/>
              </w:rPr>
              <w:t>Hrsz</w:t>
            </w:r>
            <w:proofErr w:type="spellEnd"/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D388" w14:textId="6702CE79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4DE2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db</w:t>
            </w:r>
          </w:p>
        </w:tc>
      </w:tr>
      <w:tr w:rsidR="00363AC7" w:rsidRPr="00984DE2" w14:paraId="13CBAF43" w14:textId="77777777" w:rsidTr="00984DE2">
        <w:trPr>
          <w:trHeight w:val="385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11D7" w14:textId="4071BE33" w:rsidR="00363AC7" w:rsidRPr="00363AC7" w:rsidRDefault="00363AC7" w:rsidP="00363AC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típus (2*22kW) </w:t>
            </w: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MMIK parkoló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Ady tér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53E3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5941/14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077B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63AC7" w:rsidRPr="00984DE2" w14:paraId="077FBA82" w14:textId="77777777" w:rsidTr="00984DE2">
        <w:trPr>
          <w:trHeight w:val="385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4BF3" w14:textId="59496282" w:rsidR="00363AC7" w:rsidRPr="00363AC7" w:rsidRDefault="00363AC7" w:rsidP="00363AC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típus (2*22kW) </w:t>
            </w: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Vasútállomás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Éhen </w:t>
            </w:r>
            <w:proofErr w:type="spellStart"/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Gy</w:t>
            </w:r>
            <w:proofErr w:type="spellEnd"/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 tér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5C01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6752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6B14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63AC7" w:rsidRPr="00984DE2" w14:paraId="0FA7658D" w14:textId="77777777" w:rsidTr="00984DE2">
        <w:trPr>
          <w:trHeight w:val="385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B157" w14:textId="60824CE5" w:rsidR="00363AC7" w:rsidRPr="00363AC7" w:rsidRDefault="00363AC7" w:rsidP="00363AC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típus (2*22kW) </w:t>
            </w: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Uránia udvar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Fő tér 24.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4593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6226/6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F29E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63AC7" w:rsidRPr="00984DE2" w14:paraId="3AB40EF0" w14:textId="77777777" w:rsidTr="00984DE2">
        <w:trPr>
          <w:trHeight w:val="385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9702" w14:textId="349F7E87" w:rsidR="00363AC7" w:rsidRPr="00363AC7" w:rsidRDefault="00363AC7" w:rsidP="00363AC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típus (2*22kW) </w:t>
            </w: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Csónakázó-tó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Kenderesi utca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F7D3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3683/2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3A29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363AC7" w:rsidRPr="00984DE2" w14:paraId="767D6B53" w14:textId="77777777" w:rsidTr="00984DE2">
        <w:trPr>
          <w:trHeight w:val="385"/>
        </w:trPr>
        <w:tc>
          <w:tcPr>
            <w:tcW w:w="3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D113" w14:textId="5ABF753E" w:rsidR="00363AC7" w:rsidRPr="00363AC7" w:rsidRDefault="00363AC7" w:rsidP="00363AC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típus (2*22kW) </w:t>
            </w: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Borostyán parkoló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Kisfaludy utca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8F1C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6548/1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EA67" w14:textId="77777777" w:rsidR="00363AC7" w:rsidRPr="00363AC7" w:rsidRDefault="00363AC7" w:rsidP="00363AC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</w:tbl>
    <w:p w14:paraId="479BC866" w14:textId="20B22DCB" w:rsidR="00984DE2" w:rsidRDefault="00984DE2" w:rsidP="008B0D34">
      <w:pPr>
        <w:spacing w:before="120"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projekt fenntartási időszaka lezárult, és a 2019. szeptember 30-án, 5 éves időtartamra kötött üzem</w:t>
      </w:r>
      <w:r w:rsidR="000F3F6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lte</w:t>
      </w:r>
      <w:r w:rsidR="000F3F6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ési szerződés az NKM Mobilitás </w:t>
      </w:r>
      <w:proofErr w:type="spellStart"/>
      <w:r>
        <w:rPr>
          <w:rFonts w:asciiTheme="minorHAnsi" w:hAnsiTheme="minorHAnsi" w:cstheme="minorHAnsi"/>
          <w:sz w:val="22"/>
          <w:szCs w:val="22"/>
        </w:rPr>
        <w:t>Kft-vel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lejárt.</w:t>
      </w:r>
    </w:p>
    <w:p w14:paraId="2EB0C3C1" w14:textId="684E88C2" w:rsidR="000F3F6E" w:rsidRDefault="000F3F6E" w:rsidP="008B0D34">
      <w:pPr>
        <w:spacing w:before="120"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Ezt követően </w:t>
      </w:r>
      <w:r w:rsidR="00F03E3F">
        <w:rPr>
          <w:rFonts w:asciiTheme="minorHAnsi" w:hAnsiTheme="minorHAnsi" w:cstheme="minorHAnsi"/>
          <w:sz w:val="22"/>
          <w:szCs w:val="22"/>
        </w:rPr>
        <w:t>5 gazdasági szereplőtől kértünk be ajánlatot. A</w:t>
      </w:r>
      <w:r>
        <w:rPr>
          <w:rFonts w:asciiTheme="minorHAnsi" w:hAnsiTheme="minorHAnsi" w:cstheme="minorHAnsi"/>
          <w:sz w:val="22"/>
          <w:szCs w:val="22"/>
        </w:rPr>
        <w:t xml:space="preserve"> legkedvezőbb indikatív ajánlat alapján jelenleg az 5 db elektromos autótöltő állomás üzem</w:t>
      </w:r>
      <w:r w:rsidR="00DB1F6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ltetésére 12 hónapra </w:t>
      </w:r>
      <w:r w:rsidRPr="000F3F6E">
        <w:rPr>
          <w:rFonts w:asciiTheme="minorHAnsi" w:hAnsiTheme="minorHAnsi" w:cstheme="minorHAnsi"/>
          <w:sz w:val="22"/>
          <w:szCs w:val="22"/>
        </w:rPr>
        <w:t>bruttó 784.860,- Ft</w:t>
      </w:r>
      <w:r>
        <w:rPr>
          <w:rFonts w:asciiTheme="minorHAnsi" w:hAnsiTheme="minorHAnsi" w:cstheme="minorHAnsi"/>
          <w:sz w:val="22"/>
          <w:szCs w:val="22"/>
        </w:rPr>
        <w:t xml:space="preserve"> összegű árat kaptunk. A töltőállomást (beleértve a töltő</w:t>
      </w:r>
      <w:r w:rsidR="008B0D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berendezéséket és a töltőkhöz rendelt parkolóhelyeket is) az ajánlatot adó MVM </w:t>
      </w:r>
      <w:proofErr w:type="spellStart"/>
      <w:r>
        <w:rPr>
          <w:rFonts w:asciiTheme="minorHAnsi" w:hAnsiTheme="minorHAnsi" w:cstheme="minorHAnsi"/>
          <w:sz w:val="22"/>
          <w:szCs w:val="22"/>
        </w:rPr>
        <w:t>Mob</w:t>
      </w:r>
      <w:r w:rsidR="008B0D34">
        <w:rPr>
          <w:rFonts w:asciiTheme="minorHAnsi" w:hAnsiTheme="minorHAnsi" w:cstheme="minorHAnsi"/>
          <w:sz w:val="22"/>
          <w:szCs w:val="22"/>
        </w:rPr>
        <w:t>iliti</w:t>
      </w:r>
      <w:proofErr w:type="spellEnd"/>
      <w:r w:rsidR="008B0D34">
        <w:rPr>
          <w:rFonts w:asciiTheme="minorHAnsi" w:hAnsiTheme="minorHAnsi" w:cstheme="minorHAnsi"/>
          <w:sz w:val="22"/>
          <w:szCs w:val="22"/>
        </w:rPr>
        <w:t xml:space="preserve"> Kft., mint üzemeltető bérbe venné az Önkormányzattól, mint tulajdonostól. Ezekért forgalomarányos bérleti díjat fizetne, amely ajánlata szerint </w:t>
      </w:r>
      <w:r w:rsidR="00A22BF0">
        <w:rPr>
          <w:rFonts w:asciiTheme="minorHAnsi" w:hAnsiTheme="minorHAnsi" w:cstheme="minorHAnsi"/>
          <w:sz w:val="22"/>
          <w:szCs w:val="22"/>
        </w:rPr>
        <w:t xml:space="preserve">az MVM </w:t>
      </w:r>
      <w:proofErr w:type="spellStart"/>
      <w:r w:rsidR="008B0D34">
        <w:rPr>
          <w:rFonts w:asciiTheme="minorHAnsi" w:hAnsiTheme="minorHAnsi" w:cstheme="minorHAnsi"/>
          <w:sz w:val="22"/>
          <w:szCs w:val="22"/>
        </w:rPr>
        <w:t>Mobiliti</w:t>
      </w:r>
      <w:proofErr w:type="spellEnd"/>
      <w:r w:rsidR="008B0D34">
        <w:rPr>
          <w:rFonts w:asciiTheme="minorHAnsi" w:hAnsiTheme="minorHAnsi" w:cstheme="minorHAnsi"/>
          <w:sz w:val="22"/>
          <w:szCs w:val="22"/>
        </w:rPr>
        <w:t xml:space="preserve"> </w:t>
      </w:r>
      <w:r w:rsidR="00A22BF0">
        <w:rPr>
          <w:rFonts w:asciiTheme="minorHAnsi" w:hAnsiTheme="minorHAnsi" w:cstheme="minorHAnsi"/>
          <w:sz w:val="22"/>
          <w:szCs w:val="22"/>
        </w:rPr>
        <w:t xml:space="preserve">Kft. </w:t>
      </w:r>
      <w:r w:rsidR="008B0D34">
        <w:rPr>
          <w:rFonts w:asciiTheme="minorHAnsi" w:hAnsiTheme="minorHAnsi" w:cstheme="minorHAnsi"/>
          <w:sz w:val="22"/>
          <w:szCs w:val="22"/>
        </w:rPr>
        <w:t>által a végfelhasználó ügyfelek részére értékesített villamos energia egység (kWh) után nettó 10,- Ft.</w:t>
      </w:r>
      <w:r w:rsidR="00F03E3F">
        <w:rPr>
          <w:rFonts w:asciiTheme="minorHAnsi" w:hAnsiTheme="minorHAnsi" w:cstheme="minorHAnsi"/>
          <w:sz w:val="22"/>
          <w:szCs w:val="22"/>
        </w:rPr>
        <w:t xml:space="preserve"> A 2023-as évben ez a díj megközelítőleg nettó 150.000,- Ft volt.</w:t>
      </w:r>
    </w:p>
    <w:p w14:paraId="668CEF40" w14:textId="667787B8" w:rsidR="00363AC7" w:rsidRPr="00984DE2" w:rsidRDefault="00363AC7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>A</w:t>
      </w:r>
      <w:r w:rsidR="00984DE2" w:rsidRPr="00984DE2">
        <w:rPr>
          <w:rFonts w:asciiTheme="minorHAnsi" w:hAnsiTheme="minorHAnsi" w:cstheme="minorHAnsi"/>
          <w:sz w:val="22"/>
          <w:szCs w:val="22"/>
        </w:rPr>
        <w:t xml:space="preserve"> 2023. teljes évi adatok alapján </w:t>
      </w:r>
      <w:r w:rsidR="008B0D34">
        <w:rPr>
          <w:rFonts w:asciiTheme="minorHAnsi" w:hAnsiTheme="minorHAnsi" w:cstheme="minorHAnsi"/>
          <w:sz w:val="22"/>
          <w:szCs w:val="22"/>
        </w:rPr>
        <w:t xml:space="preserve">az </w:t>
      </w:r>
      <w:r w:rsidR="008B0D34" w:rsidRPr="008B0D34">
        <w:rPr>
          <w:rFonts w:asciiTheme="minorHAnsi" w:hAnsiTheme="minorHAnsi" w:cstheme="minorHAnsi"/>
          <w:sz w:val="22"/>
          <w:szCs w:val="22"/>
        </w:rPr>
        <w:t>elektromos autótöltő állomások</w:t>
      </w:r>
      <w:r w:rsidR="008B0D34">
        <w:rPr>
          <w:rFonts w:asciiTheme="minorHAnsi" w:hAnsiTheme="minorHAnsi" w:cstheme="minorHAnsi"/>
          <w:sz w:val="22"/>
          <w:szCs w:val="22"/>
        </w:rPr>
        <w:t xml:space="preserve"> kihasználtsága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139"/>
        <w:gridCol w:w="2267"/>
        <w:gridCol w:w="2240"/>
      </w:tblGrid>
      <w:tr w:rsidR="00984DE2" w:rsidRPr="00984DE2" w14:paraId="2C92A7C5" w14:textId="03B1152B" w:rsidTr="00984DE2">
        <w:trPr>
          <w:trHeight w:val="388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7F4A" w14:textId="1581130A" w:rsidR="00984DE2" w:rsidRPr="00363AC7" w:rsidRDefault="00984DE2" w:rsidP="00984DE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 xml:space="preserve">Töltő </w:t>
            </w:r>
            <w:r w:rsidRPr="00984DE2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címe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3CD3" w14:textId="7401A9AC" w:rsidR="00984DE2" w:rsidRPr="00984DE2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984DE2">
              <w:rPr>
                <w:rFonts w:asciiTheme="minorHAnsi" w:eastAsia="Calibri" w:hAnsiTheme="minorHAnsi" w:cstheme="minorHAnsi"/>
                <w:sz w:val="22"/>
                <w:szCs w:val="22"/>
              </w:rPr>
              <w:t>öltések száma</w:t>
            </w:r>
          </w:p>
          <w:p w14:paraId="226838E3" w14:textId="1062B333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984DE2">
              <w:rPr>
                <w:rFonts w:asciiTheme="minorHAnsi" w:eastAsia="Calibri" w:hAnsiTheme="minorHAnsi" w:cstheme="minorHAnsi"/>
                <w:sz w:val="22"/>
                <w:szCs w:val="22"/>
              </w:rPr>
              <w:t>db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93FB" w14:textId="1BE83C66" w:rsidR="00984DE2" w:rsidRPr="00984DE2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F</w:t>
            </w:r>
            <w:r w:rsidRPr="00984DE2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elhasználók száma</w:t>
            </w:r>
          </w:p>
          <w:p w14:paraId="135B31D0" w14:textId="31C67BDB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4DE2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db</w:t>
            </w:r>
          </w:p>
        </w:tc>
        <w:tc>
          <w:tcPr>
            <w:tcW w:w="1071" w:type="pct"/>
          </w:tcPr>
          <w:p w14:paraId="67A0DA77" w14:textId="77777777" w:rsidR="00984DE2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Töltő oszlop</w:t>
            </w:r>
          </w:p>
          <w:p w14:paraId="3B85D4DC" w14:textId="140453F0" w:rsidR="00984DE2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kihasználtsága %</w:t>
            </w:r>
          </w:p>
        </w:tc>
      </w:tr>
      <w:tr w:rsidR="00984DE2" w:rsidRPr="00984DE2" w14:paraId="03BAD4D5" w14:textId="1843D0C7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F4AE" w14:textId="20E9EAF6" w:rsidR="00984DE2" w:rsidRPr="00363AC7" w:rsidRDefault="00984DE2" w:rsidP="00CF1B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MMIK parkoló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Ady tér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6EF6" w14:textId="3F3149AD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8C3D" w14:textId="499D8F11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071" w:type="pct"/>
          </w:tcPr>
          <w:p w14:paraId="7CAD1624" w14:textId="457ACCF1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2,82</w:t>
            </w:r>
          </w:p>
        </w:tc>
      </w:tr>
      <w:tr w:rsidR="00984DE2" w:rsidRPr="00984DE2" w14:paraId="503C3C3D" w14:textId="17375798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AC99" w14:textId="7AC887BC" w:rsidR="00984DE2" w:rsidRPr="00363AC7" w:rsidRDefault="00984DE2" w:rsidP="00CF1B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Vasútállomás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Éhen </w:t>
            </w:r>
            <w:proofErr w:type="spellStart"/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Gy</w:t>
            </w:r>
            <w:proofErr w:type="spellEnd"/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 tér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2C6C" w14:textId="60E44910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DF9C" w14:textId="3C866262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071" w:type="pct"/>
          </w:tcPr>
          <w:p w14:paraId="41282714" w14:textId="13152646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2,74</w:t>
            </w:r>
          </w:p>
        </w:tc>
      </w:tr>
      <w:tr w:rsidR="00984DE2" w:rsidRPr="00984DE2" w14:paraId="2773EE73" w14:textId="3C700155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BE76" w14:textId="7A0C3519" w:rsidR="00984DE2" w:rsidRPr="00363AC7" w:rsidRDefault="00984DE2" w:rsidP="00CF1B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Uránia udvar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Fő tér 24.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8796" w14:textId="30D3D523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568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73B7" w14:textId="0A790FF6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071" w:type="pct"/>
          </w:tcPr>
          <w:p w14:paraId="2FEFF644" w14:textId="2D6A1469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15,09</w:t>
            </w:r>
          </w:p>
        </w:tc>
      </w:tr>
      <w:tr w:rsidR="00984DE2" w:rsidRPr="00984DE2" w14:paraId="5FD4909E" w14:textId="23C7671F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89BF" w14:textId="415DFF63" w:rsidR="00984DE2" w:rsidRPr="00363AC7" w:rsidRDefault="00984DE2" w:rsidP="00CF1B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Csónakázó-tó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Kenderesi utca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214F" w14:textId="49A46FE3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7AA9" w14:textId="61661958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071" w:type="pct"/>
          </w:tcPr>
          <w:p w14:paraId="33CBD0A0" w14:textId="599DD6D6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6,08</w:t>
            </w:r>
          </w:p>
        </w:tc>
      </w:tr>
      <w:tr w:rsidR="00984DE2" w:rsidRPr="00984DE2" w14:paraId="0347603D" w14:textId="2D0F6517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D476" w14:textId="4E1B43D1" w:rsidR="00984DE2" w:rsidRPr="00363AC7" w:rsidRDefault="00984DE2" w:rsidP="00CF1B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63AC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Borostyán parkoló</w:t>
            </w:r>
            <w:r w:rsidRPr="00984DE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– Kisfaludy utca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B59D" w14:textId="44653EF1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46E3" w14:textId="24E74207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071" w:type="pct"/>
          </w:tcPr>
          <w:p w14:paraId="42A5EA76" w14:textId="1747AFA7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4,63</w:t>
            </w:r>
          </w:p>
        </w:tc>
      </w:tr>
      <w:tr w:rsidR="00984DE2" w:rsidRPr="00984DE2" w14:paraId="45E3D2AA" w14:textId="77777777" w:rsidTr="00984DE2">
        <w:trPr>
          <w:trHeight w:val="385"/>
        </w:trPr>
        <w:tc>
          <w:tcPr>
            <w:tcW w:w="1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3613" w14:textId="11EACA0B" w:rsidR="00984DE2" w:rsidRPr="00363AC7" w:rsidRDefault="00984DE2" w:rsidP="00CF1B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Összesen: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346A" w14:textId="56DCC016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1259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CB95" w14:textId="6DC1F903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516</w:t>
            </w:r>
          </w:p>
        </w:tc>
        <w:tc>
          <w:tcPr>
            <w:tcW w:w="1071" w:type="pct"/>
          </w:tcPr>
          <w:p w14:paraId="01B2DD63" w14:textId="342A6054" w:rsidR="00984DE2" w:rsidRPr="00363AC7" w:rsidRDefault="00984DE2" w:rsidP="00CF1B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31,36</w:t>
            </w:r>
          </w:p>
        </w:tc>
      </w:tr>
    </w:tbl>
    <w:p w14:paraId="5D6E1569" w14:textId="77777777" w:rsidR="00B62F57" w:rsidRDefault="00B62F5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E9E16" w14:textId="47F17586" w:rsidR="00DE4934" w:rsidRDefault="008B0D34" w:rsidP="00CD5C7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Kérem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Bizottság</w:t>
      </w:r>
      <w:r w:rsidR="007B48EC">
        <w:rPr>
          <w:rFonts w:asciiTheme="minorHAnsi" w:hAnsiTheme="minorHAnsi" w:cstheme="minorHAnsi"/>
          <w:sz w:val="22"/>
          <w:szCs w:val="22"/>
        </w:rPr>
        <w:t xml:space="preserve"> alakítsa 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62AF">
        <w:rPr>
          <w:rFonts w:asciiTheme="minorHAnsi" w:hAnsiTheme="minorHAnsi" w:cstheme="minorHAnsi"/>
          <w:sz w:val="22"/>
          <w:szCs w:val="22"/>
        </w:rPr>
        <w:t>állásfoglalását</w:t>
      </w:r>
      <w:r>
        <w:rPr>
          <w:rFonts w:asciiTheme="minorHAnsi" w:hAnsiTheme="minorHAnsi" w:cstheme="minorHAnsi"/>
          <w:sz w:val="22"/>
          <w:szCs w:val="22"/>
        </w:rPr>
        <w:t xml:space="preserve"> arra vonatkozóan</w:t>
      </w:r>
      <w:r w:rsidR="001A7469" w:rsidRPr="00984DE2">
        <w:rPr>
          <w:rFonts w:asciiTheme="minorHAnsi" w:hAnsiTheme="minorHAnsi" w:cstheme="minorHAnsi"/>
          <w:sz w:val="22"/>
          <w:szCs w:val="22"/>
        </w:rPr>
        <w:t>, hogy</w:t>
      </w:r>
      <w:r w:rsidR="008C4152" w:rsidRPr="00984D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környezetvédelmi szempontok alapján indokolt-e az önkormányzati tulajdonú </w:t>
      </w:r>
      <w:r w:rsidRPr="008B0D34">
        <w:rPr>
          <w:rFonts w:asciiTheme="minorHAnsi" w:hAnsiTheme="minorHAnsi" w:cstheme="minorHAnsi"/>
          <w:sz w:val="22"/>
          <w:szCs w:val="22"/>
        </w:rPr>
        <w:t xml:space="preserve">elektromos autótöltő állomások </w:t>
      </w:r>
      <w:r>
        <w:rPr>
          <w:rFonts w:asciiTheme="minorHAnsi" w:hAnsiTheme="minorHAnsi" w:cstheme="minorHAnsi"/>
          <w:sz w:val="22"/>
          <w:szCs w:val="22"/>
        </w:rPr>
        <w:t>üzem</w:t>
      </w:r>
      <w:r w:rsidR="00B4522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ltetése</w:t>
      </w:r>
      <w:r w:rsidR="00DE4934">
        <w:rPr>
          <w:rFonts w:asciiTheme="minorHAnsi" w:hAnsiTheme="minorHAnsi" w:cstheme="minorHAnsi"/>
          <w:sz w:val="22"/>
          <w:szCs w:val="22"/>
        </w:rPr>
        <w:t>.</w:t>
      </w:r>
    </w:p>
    <w:p w14:paraId="37C17926" w14:textId="77777777" w:rsidR="00DE4934" w:rsidRDefault="00DE4934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F11AC" w14:textId="03C0657A" w:rsidR="00DE4934" w:rsidRDefault="00DE4934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Amennyiben a Bizottság szerint indokolt az e-töltők további üzemeltetése, úgy javaslom, hogy az Önkormányzat az üzem</w:t>
      </w:r>
      <w:r w:rsidR="00DB1F6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ltetési díj</w:t>
      </w:r>
      <w:r w:rsidR="0003675E">
        <w:rPr>
          <w:rFonts w:asciiTheme="minorHAnsi" w:hAnsiTheme="minorHAnsi" w:cstheme="minorHAnsi"/>
          <w:sz w:val="22"/>
          <w:szCs w:val="22"/>
        </w:rPr>
        <w:t xml:space="preserve">jal kapcsolatban kezdeményezzen </w:t>
      </w:r>
      <w:r>
        <w:rPr>
          <w:rFonts w:asciiTheme="minorHAnsi" w:hAnsiTheme="minorHAnsi" w:cstheme="minorHAnsi"/>
          <w:sz w:val="22"/>
          <w:szCs w:val="22"/>
        </w:rPr>
        <w:t>tárgyalásokat a legkedvezőbb ajánlatot adó szolgáltatóval.</w:t>
      </w:r>
    </w:p>
    <w:p w14:paraId="1D595611" w14:textId="5FA8DEF0" w:rsidR="00DE4934" w:rsidRDefault="00DE4934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9E725" w14:textId="543DD37D" w:rsidR="00CD5C73" w:rsidRPr="00984DE2" w:rsidRDefault="00DE4934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DE4934">
        <w:rPr>
          <w:rFonts w:asciiTheme="minorHAnsi" w:hAnsiTheme="minorHAnsi" w:cstheme="minorHAnsi"/>
          <w:sz w:val="22"/>
          <w:szCs w:val="22"/>
        </w:rPr>
        <w:t xml:space="preserve">Kérem a Tisztelt Bizottság </w:t>
      </w:r>
      <w:r w:rsidR="008C4152" w:rsidRPr="00984DE2">
        <w:rPr>
          <w:rFonts w:asciiTheme="minorHAnsi" w:hAnsiTheme="minorHAnsi" w:cstheme="minorHAnsi"/>
          <w:sz w:val="22"/>
          <w:szCs w:val="22"/>
        </w:rPr>
        <w:t>az előterjesztést megtárgyalni</w:t>
      </w:r>
      <w:r w:rsidR="006F2C39" w:rsidRPr="00984DE2">
        <w:rPr>
          <w:rFonts w:asciiTheme="minorHAnsi" w:hAnsiTheme="minorHAnsi" w:cstheme="minorHAnsi"/>
          <w:sz w:val="22"/>
          <w:szCs w:val="22"/>
        </w:rPr>
        <w:t xml:space="preserve"> és a határozati jav</w:t>
      </w:r>
      <w:r>
        <w:rPr>
          <w:rFonts w:asciiTheme="minorHAnsi" w:hAnsiTheme="minorHAnsi" w:cstheme="minorHAnsi"/>
          <w:sz w:val="22"/>
          <w:szCs w:val="22"/>
        </w:rPr>
        <w:t>aslatot elfogadni szíveskedjen.</w:t>
      </w:r>
    </w:p>
    <w:p w14:paraId="4E856808" w14:textId="77777777" w:rsidR="00CD5C73" w:rsidRPr="00984DE2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3B975C07" w:rsidR="00CD5C73" w:rsidRPr="00984DE2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53639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A01255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53639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november </w:t>
      </w:r>
      <w:proofErr w:type="gramStart"/>
      <w:r w:rsidR="00453639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  </w:t>
      </w:r>
      <w:r w:rsidR="00794AB0" w:rsidRPr="00984D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”</w:t>
      </w:r>
      <w:proofErr w:type="gramEnd"/>
    </w:p>
    <w:p w14:paraId="3BFE3A53" w14:textId="77777777" w:rsidR="0037381B" w:rsidRPr="00984DE2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AC07B5" w14:textId="77777777" w:rsidR="0037381B" w:rsidRPr="00984DE2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575D6F" w14:textId="77777777" w:rsidR="00CD5C73" w:rsidRPr="00984DE2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7B2BAF19" w:rsidR="00CD5C73" w:rsidRPr="00984DE2" w:rsidRDefault="00CD5C73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="00453639" w:rsidRPr="00984DE2">
        <w:rPr>
          <w:rFonts w:asciiTheme="minorHAnsi" w:hAnsiTheme="minorHAnsi" w:cstheme="minorHAnsi"/>
          <w:bCs/>
          <w:sz w:val="22"/>
          <w:szCs w:val="22"/>
        </w:rPr>
        <w:tab/>
      </w:r>
      <w:r w:rsidRPr="00984DE2">
        <w:rPr>
          <w:rFonts w:asciiTheme="minorHAnsi" w:hAnsiTheme="minorHAnsi" w:cstheme="minorHAnsi"/>
          <w:bCs/>
          <w:sz w:val="22"/>
          <w:szCs w:val="22"/>
        </w:rPr>
        <w:t>/:</w:t>
      </w:r>
      <w:r w:rsidR="00FF67B1" w:rsidRPr="00984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217" w:rsidRPr="00984DE2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312217" w:rsidRPr="00984DE2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312217" w:rsidRPr="00984DE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12217" w:rsidRPr="00984DE2">
        <w:rPr>
          <w:rFonts w:asciiTheme="minorHAnsi" w:hAnsiTheme="minorHAnsi" w:cstheme="minorHAnsi"/>
          <w:b/>
          <w:sz w:val="22"/>
          <w:szCs w:val="22"/>
        </w:rPr>
        <w:t>András</w:t>
      </w:r>
      <w:r w:rsidR="00F7551B" w:rsidRPr="00984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4DE2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984DE2">
        <w:rPr>
          <w:rFonts w:asciiTheme="minorHAnsi" w:hAnsiTheme="minorHAnsi" w:cstheme="minorHAnsi"/>
          <w:bCs/>
          <w:sz w:val="22"/>
          <w:szCs w:val="22"/>
        </w:rPr>
        <w:t>/</w:t>
      </w:r>
    </w:p>
    <w:p w14:paraId="434053E0" w14:textId="77777777" w:rsidR="0037381B" w:rsidRPr="00984DE2" w:rsidRDefault="0037381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1BF226" w14:textId="4ABDA808" w:rsidR="00C96B3B" w:rsidRPr="00984DE2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984DE2" w:rsidRDefault="00C96B3B" w:rsidP="00851944">
      <w:pPr>
        <w:ind w:left="1416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2221F" w14:textId="635C713B" w:rsidR="00851944" w:rsidRPr="00984DE2" w:rsidRDefault="00851944" w:rsidP="0085194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40709" w14:textId="77777777" w:rsidR="00851944" w:rsidRPr="00984DE2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64441F" w14:textId="658BEE42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53639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344090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453639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44090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8C4152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F2C39"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FKSZB</w:t>
      </w: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00151" w14:textId="7BAA6277" w:rsidR="006F2C39" w:rsidRDefault="00C75863" w:rsidP="00B4522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 xml:space="preserve">A </w:t>
      </w:r>
      <w:r w:rsidR="006F2C39" w:rsidRPr="00984DE2">
        <w:rPr>
          <w:rFonts w:asciiTheme="minorHAnsi" w:hAnsiTheme="minorHAnsi" w:cstheme="minorHAnsi"/>
          <w:sz w:val="22"/>
          <w:szCs w:val="22"/>
        </w:rPr>
        <w:t>Fenntarthatósági és Klímastratégiai Szakmai Bizottság a „</w:t>
      </w:r>
      <w:r w:rsidR="00DE4934" w:rsidRPr="00DE4934">
        <w:rPr>
          <w:rFonts w:asciiTheme="minorHAnsi" w:hAnsiTheme="minorHAnsi" w:cstheme="minorHAnsi"/>
          <w:sz w:val="22"/>
          <w:szCs w:val="22"/>
        </w:rPr>
        <w:t>Javaslat elektromos autótöltő állomások üzemeltetésére vonatkozó állásfoglalás meghozatalára</w:t>
      </w:r>
      <w:r w:rsidR="00B06633" w:rsidRPr="00984DE2">
        <w:rPr>
          <w:rFonts w:asciiTheme="minorHAnsi" w:hAnsiTheme="minorHAnsi" w:cstheme="minorHAnsi"/>
          <w:sz w:val="22"/>
          <w:szCs w:val="22"/>
        </w:rPr>
        <w:t>”</w:t>
      </w:r>
      <w:r w:rsidR="0037381B" w:rsidRPr="00984DE2">
        <w:rPr>
          <w:rFonts w:asciiTheme="minorHAnsi" w:hAnsiTheme="minorHAnsi" w:cstheme="minorHAnsi"/>
          <w:sz w:val="22"/>
          <w:szCs w:val="22"/>
        </w:rPr>
        <w:t xml:space="preserve"> </w:t>
      </w:r>
      <w:r w:rsidR="006F2C39" w:rsidRPr="00984DE2">
        <w:rPr>
          <w:rFonts w:asciiTheme="minorHAnsi" w:hAnsiTheme="minorHAnsi" w:cstheme="minorHAnsi"/>
          <w:sz w:val="22"/>
          <w:szCs w:val="22"/>
        </w:rPr>
        <w:t>című előterjesztést</w:t>
      </w:r>
      <w:r w:rsidR="0037381B" w:rsidRPr="00984DE2">
        <w:rPr>
          <w:rFonts w:asciiTheme="minorHAnsi" w:hAnsiTheme="minorHAnsi" w:cstheme="minorHAnsi"/>
          <w:sz w:val="22"/>
          <w:szCs w:val="22"/>
        </w:rPr>
        <w:t xml:space="preserve"> megtárgyalta</w:t>
      </w:r>
      <w:r w:rsidR="0005079F" w:rsidRPr="00984DE2">
        <w:rPr>
          <w:rFonts w:asciiTheme="minorHAnsi" w:hAnsiTheme="minorHAnsi" w:cstheme="minorHAnsi"/>
          <w:sz w:val="22"/>
          <w:szCs w:val="22"/>
        </w:rPr>
        <w:t xml:space="preserve"> és</w:t>
      </w:r>
      <w:r w:rsidR="0037381B" w:rsidRPr="00984DE2">
        <w:rPr>
          <w:rFonts w:asciiTheme="minorHAnsi" w:hAnsiTheme="minorHAnsi" w:cstheme="minorHAnsi"/>
          <w:sz w:val="22"/>
          <w:szCs w:val="22"/>
        </w:rPr>
        <w:t xml:space="preserve"> az</w:t>
      </w:r>
      <w:r w:rsidR="00400E6D" w:rsidRPr="00984DE2">
        <w:rPr>
          <w:rFonts w:asciiTheme="minorHAnsi" w:hAnsiTheme="minorHAnsi" w:cstheme="minorHAnsi"/>
          <w:sz w:val="22"/>
          <w:szCs w:val="22"/>
        </w:rPr>
        <w:t xml:space="preserve"> abban foglaltakat tudomásul veszi.</w:t>
      </w:r>
      <w:r w:rsidR="006F2C39" w:rsidRPr="00984D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7C5B5E" w14:textId="77777777" w:rsidR="007B48EC" w:rsidRDefault="007B48EC" w:rsidP="00B4522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0EDB31" w14:textId="4C9970FA" w:rsidR="007B48EC" w:rsidRDefault="00D8403E" w:rsidP="00B45222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7B48E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5DCB353" w14:textId="77777777" w:rsidR="007B48EC" w:rsidRPr="007B48EC" w:rsidRDefault="007B48EC" w:rsidP="00B45222">
      <w:pPr>
        <w:rPr>
          <w:rFonts w:asciiTheme="minorHAnsi" w:hAnsiTheme="minorHAnsi" w:cstheme="minorHAnsi"/>
          <w:sz w:val="22"/>
          <w:szCs w:val="22"/>
        </w:rPr>
      </w:pPr>
    </w:p>
    <w:p w14:paraId="38591C15" w14:textId="2ED1EEBB" w:rsidR="007B48EC" w:rsidRPr="00984DE2" w:rsidRDefault="007B48EC" w:rsidP="00B4522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sz w:val="22"/>
          <w:szCs w:val="22"/>
        </w:rPr>
        <w:t xml:space="preserve">az önkormányzati tulajdonú </w:t>
      </w:r>
      <w:r w:rsidRPr="00DE4934">
        <w:rPr>
          <w:rFonts w:asciiTheme="minorHAnsi" w:hAnsiTheme="minorHAnsi" w:cstheme="minorHAnsi"/>
          <w:sz w:val="22"/>
          <w:szCs w:val="22"/>
        </w:rPr>
        <w:t>elektromos autótöltő állomások</w:t>
      </w:r>
      <w:r>
        <w:rPr>
          <w:rFonts w:asciiTheme="minorHAnsi" w:hAnsiTheme="minorHAnsi" w:cstheme="minorHAnsi"/>
          <w:sz w:val="22"/>
          <w:szCs w:val="22"/>
        </w:rPr>
        <w:t xml:space="preserve"> üzemeltetését nem tartja indokoltnak. </w:t>
      </w:r>
    </w:p>
    <w:p w14:paraId="6758239B" w14:textId="77777777" w:rsidR="007B48EC" w:rsidRPr="00984DE2" w:rsidRDefault="007B48EC" w:rsidP="00B45222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DB61D3E" w14:textId="049F0DED" w:rsidR="00CD5C73" w:rsidRPr="00984DE2" w:rsidRDefault="00D8403E" w:rsidP="00B4522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7B48EC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4B4F5315" w14:textId="77777777" w:rsidR="007B48EC" w:rsidRDefault="007B48EC" w:rsidP="00B4522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731B381" w14:textId="0F4101AA" w:rsidR="006F2C39" w:rsidRPr="00984DE2" w:rsidRDefault="00EE4905" w:rsidP="00B4522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>A Bizottság</w:t>
      </w:r>
      <w:r w:rsidR="00393401" w:rsidRPr="00984DE2">
        <w:rPr>
          <w:rFonts w:asciiTheme="minorHAnsi" w:hAnsiTheme="minorHAnsi" w:cstheme="minorHAnsi"/>
          <w:sz w:val="22"/>
          <w:szCs w:val="22"/>
        </w:rPr>
        <w:t xml:space="preserve"> </w:t>
      </w:r>
      <w:r w:rsidR="00DE4934">
        <w:rPr>
          <w:rFonts w:asciiTheme="minorHAnsi" w:hAnsiTheme="minorHAnsi" w:cstheme="minorHAnsi"/>
          <w:sz w:val="22"/>
          <w:szCs w:val="22"/>
        </w:rPr>
        <w:t xml:space="preserve">az önkormányzati tulajdonú </w:t>
      </w:r>
      <w:r w:rsidR="00DE4934" w:rsidRPr="00DE4934">
        <w:rPr>
          <w:rFonts w:asciiTheme="minorHAnsi" w:hAnsiTheme="minorHAnsi" w:cstheme="minorHAnsi"/>
          <w:sz w:val="22"/>
          <w:szCs w:val="22"/>
        </w:rPr>
        <w:t>elektromos autótöltő állomások</w:t>
      </w:r>
      <w:r w:rsidR="00DE4934">
        <w:rPr>
          <w:rFonts w:asciiTheme="minorHAnsi" w:hAnsiTheme="minorHAnsi" w:cstheme="minorHAnsi"/>
          <w:sz w:val="22"/>
          <w:szCs w:val="22"/>
        </w:rPr>
        <w:t xml:space="preserve"> üzem</w:t>
      </w:r>
      <w:r w:rsidR="00DB1F6E">
        <w:rPr>
          <w:rFonts w:asciiTheme="minorHAnsi" w:hAnsiTheme="minorHAnsi" w:cstheme="minorHAnsi"/>
          <w:sz w:val="22"/>
          <w:szCs w:val="22"/>
        </w:rPr>
        <w:t>e</w:t>
      </w:r>
      <w:r w:rsidR="00DE4934">
        <w:rPr>
          <w:rFonts w:asciiTheme="minorHAnsi" w:hAnsiTheme="minorHAnsi" w:cstheme="minorHAnsi"/>
          <w:sz w:val="22"/>
          <w:szCs w:val="22"/>
        </w:rPr>
        <w:t>ltetését indokoltnak tartja</w:t>
      </w:r>
      <w:r w:rsidR="00393401" w:rsidRPr="00984DE2">
        <w:rPr>
          <w:rFonts w:asciiTheme="minorHAnsi" w:hAnsiTheme="minorHAnsi" w:cstheme="minorHAnsi"/>
          <w:sz w:val="22"/>
          <w:szCs w:val="22"/>
        </w:rPr>
        <w:t xml:space="preserve">, </w:t>
      </w:r>
      <w:r w:rsidR="00DE4934">
        <w:rPr>
          <w:rFonts w:asciiTheme="minorHAnsi" w:hAnsiTheme="minorHAnsi" w:cstheme="minorHAnsi"/>
          <w:sz w:val="22"/>
          <w:szCs w:val="22"/>
        </w:rPr>
        <w:t xml:space="preserve">és </w:t>
      </w:r>
      <w:r w:rsidR="00DB1F6E">
        <w:rPr>
          <w:rFonts w:asciiTheme="minorHAnsi" w:hAnsiTheme="minorHAnsi" w:cstheme="minorHAnsi"/>
          <w:sz w:val="22"/>
          <w:szCs w:val="22"/>
        </w:rPr>
        <w:t>javasolja</w:t>
      </w:r>
      <w:r w:rsidR="00DE4934">
        <w:rPr>
          <w:rFonts w:asciiTheme="minorHAnsi" w:hAnsiTheme="minorHAnsi" w:cstheme="minorHAnsi"/>
          <w:sz w:val="22"/>
          <w:szCs w:val="22"/>
        </w:rPr>
        <w:t xml:space="preserve"> a Polgármester</w:t>
      </w:r>
      <w:r w:rsidR="00DB1F6E">
        <w:rPr>
          <w:rFonts w:asciiTheme="minorHAnsi" w:hAnsiTheme="minorHAnsi" w:cstheme="minorHAnsi"/>
          <w:sz w:val="22"/>
          <w:szCs w:val="22"/>
        </w:rPr>
        <w:t>nek</w:t>
      </w:r>
      <w:r w:rsidR="00DE4934">
        <w:rPr>
          <w:rFonts w:asciiTheme="minorHAnsi" w:hAnsiTheme="minorHAnsi" w:cstheme="minorHAnsi"/>
          <w:sz w:val="22"/>
          <w:szCs w:val="22"/>
        </w:rPr>
        <w:t xml:space="preserve"> az üzemeltetés</w:t>
      </w:r>
      <w:r w:rsidR="00DB1F6E">
        <w:rPr>
          <w:rFonts w:asciiTheme="minorHAnsi" w:hAnsiTheme="minorHAnsi" w:cstheme="minorHAnsi"/>
          <w:sz w:val="22"/>
          <w:szCs w:val="22"/>
        </w:rPr>
        <w:t>i díjra</w:t>
      </w:r>
      <w:r w:rsidR="00DE4934">
        <w:rPr>
          <w:rFonts w:asciiTheme="minorHAnsi" w:hAnsiTheme="minorHAnsi" w:cstheme="minorHAnsi"/>
          <w:sz w:val="22"/>
          <w:szCs w:val="22"/>
        </w:rPr>
        <w:t xml:space="preserve"> vonatkozó tárgyalások </w:t>
      </w:r>
      <w:r w:rsidR="00DB1F6E">
        <w:rPr>
          <w:rFonts w:asciiTheme="minorHAnsi" w:hAnsiTheme="minorHAnsi" w:cstheme="minorHAnsi"/>
          <w:sz w:val="22"/>
          <w:szCs w:val="22"/>
        </w:rPr>
        <w:t>kezdeményezését</w:t>
      </w:r>
      <w:r w:rsidR="00DE4934">
        <w:rPr>
          <w:rFonts w:asciiTheme="minorHAnsi" w:hAnsiTheme="minorHAnsi" w:cstheme="minorHAnsi"/>
          <w:sz w:val="22"/>
          <w:szCs w:val="22"/>
        </w:rPr>
        <w:t>.</w:t>
      </w:r>
    </w:p>
    <w:p w14:paraId="1C8EA8C7" w14:textId="77777777" w:rsidR="00393401" w:rsidRPr="00984DE2" w:rsidRDefault="00393401" w:rsidP="003934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23C58" w14:textId="77777777" w:rsidR="007B48EC" w:rsidRDefault="007B48EC" w:rsidP="00CD5C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EF757B" w14:textId="46C0448A" w:rsidR="000C7E46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984DE2">
        <w:rPr>
          <w:rFonts w:asciiTheme="minorHAnsi" w:hAnsiTheme="minorHAnsi" w:cstheme="minorHAnsi"/>
          <w:sz w:val="22"/>
          <w:szCs w:val="22"/>
        </w:rPr>
        <w:t>:</w:t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C96B3B" w:rsidRPr="00984DE2">
        <w:rPr>
          <w:rFonts w:asciiTheme="minorHAnsi" w:hAnsiTheme="minorHAnsi" w:cstheme="minorHAnsi"/>
          <w:sz w:val="22"/>
          <w:szCs w:val="22"/>
        </w:rPr>
        <w:tab/>
      </w:r>
      <w:r w:rsidR="000C7E46" w:rsidRPr="000C7E4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0C7E46" w:rsidRPr="000C7E4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0C7E46" w:rsidRPr="000C7E46">
        <w:rPr>
          <w:rFonts w:asciiTheme="minorHAnsi" w:hAnsiTheme="minorHAnsi" w:cstheme="minorHAnsi"/>
          <w:sz w:val="22"/>
          <w:szCs w:val="22"/>
        </w:rPr>
        <w:t xml:space="preserve"> András polgármester</w:t>
      </w:r>
      <w:bookmarkStart w:id="0" w:name="_GoBack"/>
      <w:bookmarkEnd w:id="0"/>
    </w:p>
    <w:p w14:paraId="0C7E9E60" w14:textId="4A2D4FE1" w:rsidR="00CD5C73" w:rsidRPr="00984DE2" w:rsidRDefault="000C7E46" w:rsidP="000C7E46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57487" w:rsidRPr="00984DE2">
        <w:rPr>
          <w:rFonts w:asciiTheme="minorHAnsi" w:hAnsiTheme="minorHAnsi" w:cstheme="minorHAnsi"/>
          <w:sz w:val="22"/>
          <w:szCs w:val="22"/>
        </w:rPr>
        <w:t>Németh Ákos, a Bizottság elnöke</w:t>
      </w:r>
    </w:p>
    <w:p w14:paraId="275082D5" w14:textId="51DCD18C" w:rsidR="00CD5C73" w:rsidRPr="00984DE2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ab/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C96B3B" w:rsidRPr="00984DE2">
        <w:rPr>
          <w:rFonts w:asciiTheme="minorHAnsi" w:hAnsiTheme="minorHAnsi" w:cstheme="minorHAnsi"/>
          <w:sz w:val="22"/>
          <w:szCs w:val="22"/>
        </w:rPr>
        <w:t>/</w:t>
      </w:r>
      <w:r w:rsidRPr="00984DE2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56B7E9A3" w14:textId="3A4FD0D4" w:rsidR="00CD5C73" w:rsidRPr="00984DE2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sz w:val="22"/>
          <w:szCs w:val="22"/>
        </w:rPr>
        <w:tab/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950D32" w:rsidRPr="00984DE2">
        <w:rPr>
          <w:rFonts w:asciiTheme="minorHAnsi" w:hAnsiTheme="minorHAnsi" w:cstheme="minorHAnsi"/>
          <w:sz w:val="22"/>
          <w:szCs w:val="22"/>
        </w:rPr>
        <w:t>Dr. Gyuráczné Dr. Speier Anikó, a</w:t>
      </w:r>
      <w:r w:rsidRPr="00984DE2">
        <w:rPr>
          <w:rFonts w:asciiTheme="minorHAnsi" w:hAnsiTheme="minorHAnsi" w:cstheme="minorHAnsi"/>
          <w:sz w:val="22"/>
          <w:szCs w:val="22"/>
        </w:rPr>
        <w:t xml:space="preserve"> Városüzemeltetési</w:t>
      </w:r>
      <w:r w:rsidR="00950D32" w:rsidRPr="00984DE2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984DE2"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C96B3B" w:rsidRPr="00984DE2">
        <w:rPr>
          <w:rFonts w:asciiTheme="minorHAnsi" w:hAnsiTheme="minorHAnsi" w:cstheme="minorHAnsi"/>
          <w:sz w:val="22"/>
          <w:szCs w:val="22"/>
        </w:rPr>
        <w:t>/</w:t>
      </w:r>
    </w:p>
    <w:p w14:paraId="39710C5C" w14:textId="77777777" w:rsidR="00357487" w:rsidRPr="00984DE2" w:rsidRDefault="0035748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75561" w14:textId="35120F76" w:rsidR="005A1584" w:rsidRPr="00984DE2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6F2C39" w:rsidRPr="00984DE2">
        <w:rPr>
          <w:rFonts w:asciiTheme="minorHAnsi" w:hAnsiTheme="minorHAnsi" w:cstheme="minorHAnsi"/>
          <w:sz w:val="22"/>
          <w:szCs w:val="22"/>
        </w:rPr>
        <w:t>2025</w:t>
      </w:r>
      <w:r w:rsidR="0005079F" w:rsidRPr="00984DE2">
        <w:rPr>
          <w:rFonts w:asciiTheme="minorHAnsi" w:hAnsiTheme="minorHAnsi" w:cstheme="minorHAnsi"/>
          <w:sz w:val="22"/>
          <w:szCs w:val="22"/>
        </w:rPr>
        <w:t xml:space="preserve">. január 31. </w:t>
      </w:r>
    </w:p>
    <w:sectPr w:rsidR="005A1584" w:rsidRPr="00984DE2" w:rsidSect="00B4522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8BDB" w14:textId="77777777" w:rsidR="00705AD5" w:rsidRDefault="00705AD5">
      <w:r>
        <w:separator/>
      </w:r>
    </w:p>
  </w:endnote>
  <w:endnote w:type="continuationSeparator" w:id="0">
    <w:p w14:paraId="75D58301" w14:textId="77777777" w:rsidR="00705AD5" w:rsidRDefault="007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EE1F" w14:textId="3835E766" w:rsidR="00B45222" w:rsidRDefault="00B45222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_________________________________________________________________________________________________________</w:t>
    </w:r>
  </w:p>
  <w:p w14:paraId="65B1AC62" w14:textId="46E945FB" w:rsidR="005F19FE" w:rsidRPr="000C7E46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C7E46">
      <w:rPr>
        <w:rFonts w:asciiTheme="minorHAnsi" w:hAnsiTheme="minorHAnsi" w:cstheme="minorHAnsi"/>
        <w:sz w:val="20"/>
        <w:szCs w:val="20"/>
      </w:rPr>
      <w:t xml:space="preserve">Oldalszám: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DB1F6E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  <w:r w:rsidRPr="000C7E46">
      <w:rPr>
        <w:rFonts w:asciiTheme="minorHAnsi" w:hAnsiTheme="minorHAnsi" w:cstheme="minorHAnsi"/>
        <w:sz w:val="20"/>
        <w:szCs w:val="20"/>
      </w:rPr>
      <w:t xml:space="preserve"> /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DB1F6E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FA2E5" w14:textId="77777777" w:rsidR="00705AD5" w:rsidRDefault="00705AD5">
      <w:r>
        <w:separator/>
      </w:r>
    </w:p>
  </w:footnote>
  <w:footnote w:type="continuationSeparator" w:id="0">
    <w:p w14:paraId="5C77710D" w14:textId="77777777" w:rsidR="00705AD5" w:rsidRDefault="0070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5A73B2FE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proofErr w:type="gramStart"/>
    <w:r w:rsidR="00FF67B1">
      <w:rPr>
        <w:rFonts w:asciiTheme="minorHAnsi" w:hAnsiTheme="minorHAnsi" w:cstheme="minorHAnsi"/>
        <w:smallCaps/>
        <w:szCs w:val="22"/>
      </w:rPr>
      <w:t>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  <w:proofErr w:type="gramEnd"/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E9A"/>
    <w:multiLevelType w:val="hybridMultilevel"/>
    <w:tmpl w:val="8832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3675E"/>
    <w:rsid w:val="0004716E"/>
    <w:rsid w:val="0005079F"/>
    <w:rsid w:val="00065E89"/>
    <w:rsid w:val="000664D9"/>
    <w:rsid w:val="000B37A0"/>
    <w:rsid w:val="000C7E46"/>
    <w:rsid w:val="000D5554"/>
    <w:rsid w:val="000E45C7"/>
    <w:rsid w:val="000F3F6E"/>
    <w:rsid w:val="0010017D"/>
    <w:rsid w:val="00132161"/>
    <w:rsid w:val="00195629"/>
    <w:rsid w:val="001A4648"/>
    <w:rsid w:val="001A62AF"/>
    <w:rsid w:val="001A7469"/>
    <w:rsid w:val="001B752A"/>
    <w:rsid w:val="001C477D"/>
    <w:rsid w:val="001E610B"/>
    <w:rsid w:val="00204F3E"/>
    <w:rsid w:val="00237C89"/>
    <w:rsid w:val="002A34CE"/>
    <w:rsid w:val="002F0818"/>
    <w:rsid w:val="00310E23"/>
    <w:rsid w:val="00312217"/>
    <w:rsid w:val="0032195E"/>
    <w:rsid w:val="00325973"/>
    <w:rsid w:val="0032649B"/>
    <w:rsid w:val="0033593B"/>
    <w:rsid w:val="0034130E"/>
    <w:rsid w:val="00344090"/>
    <w:rsid w:val="00353899"/>
    <w:rsid w:val="00355E3C"/>
    <w:rsid w:val="00356256"/>
    <w:rsid w:val="00357487"/>
    <w:rsid w:val="00363961"/>
    <w:rsid w:val="00363AC7"/>
    <w:rsid w:val="0037381B"/>
    <w:rsid w:val="00393401"/>
    <w:rsid w:val="003A67BC"/>
    <w:rsid w:val="003D2211"/>
    <w:rsid w:val="003E028C"/>
    <w:rsid w:val="003E5CD5"/>
    <w:rsid w:val="00400E6D"/>
    <w:rsid w:val="00402327"/>
    <w:rsid w:val="00402DE4"/>
    <w:rsid w:val="00442D8B"/>
    <w:rsid w:val="00453639"/>
    <w:rsid w:val="00462E60"/>
    <w:rsid w:val="00467B80"/>
    <w:rsid w:val="0049434B"/>
    <w:rsid w:val="00496A7C"/>
    <w:rsid w:val="004B0814"/>
    <w:rsid w:val="004C0DD2"/>
    <w:rsid w:val="0050045B"/>
    <w:rsid w:val="0050576E"/>
    <w:rsid w:val="00537F82"/>
    <w:rsid w:val="005434AA"/>
    <w:rsid w:val="00546307"/>
    <w:rsid w:val="0057025F"/>
    <w:rsid w:val="00583E18"/>
    <w:rsid w:val="0059726B"/>
    <w:rsid w:val="005A1584"/>
    <w:rsid w:val="005F19FE"/>
    <w:rsid w:val="006164BC"/>
    <w:rsid w:val="006221BF"/>
    <w:rsid w:val="00656D01"/>
    <w:rsid w:val="00684BA7"/>
    <w:rsid w:val="00685185"/>
    <w:rsid w:val="00696D9D"/>
    <w:rsid w:val="006B0303"/>
    <w:rsid w:val="006B5218"/>
    <w:rsid w:val="006F2C39"/>
    <w:rsid w:val="006F4986"/>
    <w:rsid w:val="00705AD5"/>
    <w:rsid w:val="007823D1"/>
    <w:rsid w:val="007824ED"/>
    <w:rsid w:val="007914C5"/>
    <w:rsid w:val="007923C8"/>
    <w:rsid w:val="00794AB0"/>
    <w:rsid w:val="007B2FF9"/>
    <w:rsid w:val="007B48EC"/>
    <w:rsid w:val="007B588B"/>
    <w:rsid w:val="007D5299"/>
    <w:rsid w:val="007E62BB"/>
    <w:rsid w:val="007F2F31"/>
    <w:rsid w:val="00820991"/>
    <w:rsid w:val="00842632"/>
    <w:rsid w:val="00851944"/>
    <w:rsid w:val="008728D0"/>
    <w:rsid w:val="00895BAB"/>
    <w:rsid w:val="008A3856"/>
    <w:rsid w:val="008B0D34"/>
    <w:rsid w:val="008B2852"/>
    <w:rsid w:val="008C4152"/>
    <w:rsid w:val="008F0364"/>
    <w:rsid w:val="00921613"/>
    <w:rsid w:val="009348EA"/>
    <w:rsid w:val="00945FF6"/>
    <w:rsid w:val="00950D32"/>
    <w:rsid w:val="0096279B"/>
    <w:rsid w:val="00962F74"/>
    <w:rsid w:val="00983526"/>
    <w:rsid w:val="00983BDC"/>
    <w:rsid w:val="00984DE2"/>
    <w:rsid w:val="009B3023"/>
    <w:rsid w:val="009E705C"/>
    <w:rsid w:val="00A01255"/>
    <w:rsid w:val="00A05790"/>
    <w:rsid w:val="00A22BF0"/>
    <w:rsid w:val="00A726DB"/>
    <w:rsid w:val="00A7633E"/>
    <w:rsid w:val="00A80732"/>
    <w:rsid w:val="00AB5210"/>
    <w:rsid w:val="00AB7B31"/>
    <w:rsid w:val="00AC3D7B"/>
    <w:rsid w:val="00AD08CD"/>
    <w:rsid w:val="00AD17E6"/>
    <w:rsid w:val="00B06633"/>
    <w:rsid w:val="00B36751"/>
    <w:rsid w:val="00B45222"/>
    <w:rsid w:val="00B5602B"/>
    <w:rsid w:val="00B610E8"/>
    <w:rsid w:val="00B62F57"/>
    <w:rsid w:val="00B85B82"/>
    <w:rsid w:val="00BA1A93"/>
    <w:rsid w:val="00BB56B1"/>
    <w:rsid w:val="00BC46F6"/>
    <w:rsid w:val="00BE370B"/>
    <w:rsid w:val="00C2237F"/>
    <w:rsid w:val="00C7304F"/>
    <w:rsid w:val="00C75863"/>
    <w:rsid w:val="00C96B3B"/>
    <w:rsid w:val="00CD5C73"/>
    <w:rsid w:val="00CF6142"/>
    <w:rsid w:val="00D54DF8"/>
    <w:rsid w:val="00D8403E"/>
    <w:rsid w:val="00D911A4"/>
    <w:rsid w:val="00D9186D"/>
    <w:rsid w:val="00D93F69"/>
    <w:rsid w:val="00DB1F6E"/>
    <w:rsid w:val="00DB68A6"/>
    <w:rsid w:val="00DD1896"/>
    <w:rsid w:val="00DE4934"/>
    <w:rsid w:val="00E30ECA"/>
    <w:rsid w:val="00E43A7E"/>
    <w:rsid w:val="00E5216C"/>
    <w:rsid w:val="00E57808"/>
    <w:rsid w:val="00E82F69"/>
    <w:rsid w:val="00E9455C"/>
    <w:rsid w:val="00EC5F2B"/>
    <w:rsid w:val="00EC7C11"/>
    <w:rsid w:val="00EE4905"/>
    <w:rsid w:val="00F03E3F"/>
    <w:rsid w:val="00F2697F"/>
    <w:rsid w:val="00F7551B"/>
    <w:rsid w:val="00F87C16"/>
    <w:rsid w:val="00FD2A3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DE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6F2C39"/>
    <w:pPr>
      <w:ind w:left="720"/>
      <w:contextualSpacing/>
    </w:pPr>
  </w:style>
  <w:style w:type="character" w:styleId="Jegyzethivatkozs">
    <w:name w:val="annotation reference"/>
    <w:basedOn w:val="Bekezdsalapbettpusa"/>
    <w:rsid w:val="00895BA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A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95B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5BAB"/>
    <w:rPr>
      <w:b/>
      <w:bCs/>
    </w:rPr>
  </w:style>
  <w:style w:type="paragraph" w:styleId="Vltozat">
    <w:name w:val="Revision"/>
    <w:hidden/>
    <w:uiPriority w:val="99"/>
    <w:semiHidden/>
    <w:rsid w:val="00A80732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B45222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452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11F4-887C-46EA-BCC5-A6589041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460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Demes Edit</cp:lastModifiedBy>
  <cp:revision>2</cp:revision>
  <cp:lastPrinted>2024-11-13T09:27:00Z</cp:lastPrinted>
  <dcterms:created xsi:type="dcterms:W3CDTF">2024-11-20T10:18:00Z</dcterms:created>
  <dcterms:modified xsi:type="dcterms:W3CDTF">2024-11-20T10:18:00Z</dcterms:modified>
</cp:coreProperties>
</file>