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2018" w14:textId="2E113FEC" w:rsidR="00A96617" w:rsidRPr="00A96617" w:rsidRDefault="00A96617" w:rsidP="00A96617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A96617">
        <w:rPr>
          <w:rFonts w:ascii="Calibri" w:hAnsi="Calibri" w:cs="Calibri"/>
          <w:i/>
          <w:iCs/>
          <w:sz w:val="22"/>
          <w:szCs w:val="22"/>
        </w:rPr>
        <w:t>5.1. melléklet</w:t>
      </w:r>
    </w:p>
    <w:p w14:paraId="024FFC7E" w14:textId="77777777" w:rsidR="00A96617" w:rsidRDefault="00A96617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61C31F" w14:textId="39D02CB5" w:rsidR="00B053EA" w:rsidRDefault="00074A19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1967C8BD" w14:textId="610DFE22" w:rsidR="007F00A8" w:rsidRPr="00B053EA" w:rsidRDefault="00B053EA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="00074A19" w:rsidRPr="00B053EA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="00074A19" w:rsidRPr="00B053EA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</w:t>
      </w:r>
      <w:r w:rsidR="00074A19" w:rsidRPr="00B053EA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3D8CBB40" w14:textId="77777777" w:rsidR="007F00A8" w:rsidRPr="00B053EA" w:rsidRDefault="00074A19" w:rsidP="00B053EA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</w:t>
      </w:r>
    </w:p>
    <w:p w14:paraId="5AF84FC1" w14:textId="4EF071E1" w:rsidR="007F00A8" w:rsidRPr="00B053EA" w:rsidRDefault="00074A1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</w:t>
      </w:r>
      <w:r w:rsidR="008F4C3F">
        <w:rPr>
          <w:rFonts w:ascii="Calibri" w:hAnsi="Calibri" w:cs="Calibri"/>
          <w:sz w:val="22"/>
          <w:szCs w:val="22"/>
        </w:rPr>
        <w:t>,</w:t>
      </w:r>
      <w:r w:rsidRPr="00B053EA">
        <w:rPr>
          <w:rFonts w:ascii="Calibri" w:hAnsi="Calibri" w:cs="Calibri"/>
          <w:sz w:val="22"/>
          <w:szCs w:val="22"/>
        </w:rPr>
        <w:t xml:space="preserve"> a bérlők és bérbeadók településen működő érdekképviseleti szervezete véleményének kikérésével a következőket rendeli el:</w:t>
      </w:r>
    </w:p>
    <w:p w14:paraId="0318803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1. §</w:t>
      </w:r>
    </w:p>
    <w:p w14:paraId="5DFBCDC4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6. § (3) bekezdése helyébe a következő rendelkezés lép:</w:t>
      </w:r>
    </w:p>
    <w:p w14:paraId="2011C7D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„(3) A bérleti szerződés megkötésére tűzött (2) bekezdés szerinti határidő jogvesztő. Ha a pályázó a bérleti szerződést neki felróható okból az (2) bekezdés szerinti határidőn belül nem köti meg, a polgármester köteles a kijelölést visszavonni, a nyertes pályázatot érvénytelennek nyilvánítani.”</w:t>
      </w:r>
    </w:p>
    <w:p w14:paraId="652CB30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2. §</w:t>
      </w:r>
    </w:p>
    <w:p w14:paraId="7EDD4CF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10. § (2) bekezdése helyébe a következő rendelkezés lép:</w:t>
      </w:r>
    </w:p>
    <w:p w14:paraId="0ADF7542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 bérleti szerződés megkötésére tűzött, az (1) bekezdés szerinti határidő jogvesztő. Ha a pályázó a bérleti szerződést neki felróható okból az (1) bekezdés szerinti határidőn belül nem köti meg, úgy a polgármester köteles a kijelölést visszavonni, valamint a nyertes pályázatot érvénytelennek nyilvánítani.”</w:t>
      </w:r>
    </w:p>
    <w:p w14:paraId="39A21575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3. §</w:t>
      </w:r>
    </w:p>
    <w:p w14:paraId="1A1DF0F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14. § (1) bekezdése helyébe a következő rendelkezés lép:</w:t>
      </w:r>
    </w:p>
    <w:p w14:paraId="09B2D854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Szolgálati lakásra vonatkozó bérleti szerződés az önkormányzati intézményeknél, a Polgármesteri Hivatalnál, valamint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nál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közalkalmazotti, közszolgálati jogviszonyban, köznevelési foglalkoztatotti jogviszonyban, illetve munkaviszonyban álló személlyel köthető. Az önkormányzat tulajdonában álló lakások közül szolgálati lakás céljára lehetőségeihez képest évente legalább 3 lakást biztosít.”</w:t>
      </w:r>
    </w:p>
    <w:p w14:paraId="2D21CDC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4. §</w:t>
      </w:r>
    </w:p>
    <w:p w14:paraId="04DF4AA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21/A. § (1) bekezdése helyébe a következő rendelkezés lép:</w:t>
      </w:r>
    </w:p>
    <w:p w14:paraId="053F5424" w14:textId="09A479B8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A rendelet első és második részében, valamint a harmadik rész I-III. fejezeteiben nem szabályozott esetekben – különösen városrendezési, városrehabilitációs, gazdaságfejlesztési, ellátási vagy egyéb szociálpolitikai érdekre tekintettel – a Bizottság javaslatára a polgármester jelöli ki a bérlakás bérlőjét.”</w:t>
      </w:r>
    </w:p>
    <w:p w14:paraId="698BA565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5. §</w:t>
      </w:r>
    </w:p>
    <w:p w14:paraId="2D54F600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kezelő kötelezettségei” alcím címe helyébe a következő rendelkezés lép:</w:t>
      </w:r>
    </w:p>
    <w:p w14:paraId="2F6E1D77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lastRenderedPageBreak/>
        <w:t>„A SZOVA és a kezelő kötelezettségei”</w:t>
      </w:r>
    </w:p>
    <w:p w14:paraId="2E6D324D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6. §</w:t>
      </w:r>
    </w:p>
    <w:p w14:paraId="2E2F862C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23. § (2) és (3) bekezdése helyébe a következő rendelkezések lépnek:</w:t>
      </w:r>
    </w:p>
    <w:p w14:paraId="703B036C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 határozott időtartamú bérleti szerződések lejártával, illetve azok meghosszabbításával kapcsolatban a SZOVA köteles gondoskodni az alábbiakról:</w:t>
      </w:r>
    </w:p>
    <w:p w14:paraId="22FF445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a bérlő értesítéséről, a bérleti szerződés lejárta előtt legalább 90 nappal, mely tartalmazza a szerződés lejártának időpontját, a bérlő feladatait és a határidő elmulasztásához fűződő jogkövetkezményeket,</w:t>
      </w:r>
    </w:p>
    <w:p w14:paraId="35ED8C0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a szerződés meghosszabbításához szükséges igazolások kiadásáról,</w:t>
      </w:r>
    </w:p>
    <w:p w14:paraId="7522D5B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>a bérlőkijelölésre jogosult szerv rendelkezése szerint az új lakásbérleti szerződés megkötéséről,</w:t>
      </w:r>
    </w:p>
    <w:p w14:paraId="546EC00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d)</w:t>
      </w:r>
      <w:r w:rsidRPr="00B053EA">
        <w:rPr>
          <w:rFonts w:ascii="Calibri" w:hAnsi="Calibri" w:cs="Calibri"/>
          <w:sz w:val="22"/>
          <w:szCs w:val="22"/>
        </w:rPr>
        <w:tab/>
        <w:t>a kiürítési eljárás megindításáról.</w:t>
      </w:r>
    </w:p>
    <w:p w14:paraId="37C8A215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(3) Amennyiben a bérlő lakbérfizetési kötelezettségének határidőben nem tesz eleget, úgy a SZOVA a határidő elmulasztásától számított 15 nap elteltével köteles írásban felszólítani a bérlőt hátralékának rendezésére. Amennyiben a bérlőnek 3 havi lakbérhátraléka keletkezik, úgy a SZOVA e tényről köteles értesíteni a szociális szolgáltatót, valamint a polgármestert. A bérlő köteles a hátralék rendezése érdekében a szociális szolgáltatóval együttműködni.”</w:t>
      </w:r>
    </w:p>
    <w:p w14:paraId="26FED08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7. §</w:t>
      </w:r>
    </w:p>
    <w:p w14:paraId="189391A8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30. § (2) bekezdése helyébe a következő rendelkezés lép:</w:t>
      </w:r>
    </w:p>
    <w:p w14:paraId="7047AB1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Az (1) bekezdésben megjelölt feltételek együttes fennállása esetén a lakásban visszamaradó személyt az általa lakott lakásra, vagy más, jogos lakásigénye mértékét meg nem haladó lakásra a Bizottság bérlőként kijelölheti.”</w:t>
      </w:r>
    </w:p>
    <w:p w14:paraId="087BF2D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8. §</w:t>
      </w:r>
    </w:p>
    <w:p w14:paraId="161F04D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31. § (2) bekezdése helyébe a következő rendelkezés lép:</w:t>
      </w:r>
    </w:p>
    <w:p w14:paraId="3F092F1A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„(2) Az ideiglenes lakást a Bizottság jelöli ki.”</w:t>
      </w:r>
    </w:p>
    <w:p w14:paraId="5E60DC79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9. §</w:t>
      </w:r>
    </w:p>
    <w:p w14:paraId="44F6FA9A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bérbeadó hozzájárulása a lakáscsere-szerződéshez” alcím címe helyébe a következő rendelkezés lép:</w:t>
      </w:r>
    </w:p>
    <w:p w14:paraId="51F8CE52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„A lakáscsere”</w:t>
      </w:r>
    </w:p>
    <w:p w14:paraId="510FFA9A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10. §</w:t>
      </w:r>
    </w:p>
    <w:p w14:paraId="6D0DC57A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34. §-a helyébe a következő rendelkezés lép:</w:t>
      </w:r>
    </w:p>
    <w:p w14:paraId="445DC9DD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„34. §</w:t>
      </w:r>
    </w:p>
    <w:p w14:paraId="5D15F687" w14:textId="77777777" w:rsidR="007F00A8" w:rsidRPr="00B053EA" w:rsidRDefault="00074A19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lakástörvény 29. §-a szerinti lakáscseréhez történő hozzájárulás megadására a Bizottság jogosult.”</w:t>
      </w:r>
    </w:p>
    <w:p w14:paraId="2E9F91A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11. §</w:t>
      </w:r>
    </w:p>
    <w:p w14:paraId="3AA4849F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„A lakáscsere” alcíme a következő 34/A. és 34/B. §-</w:t>
      </w:r>
      <w:proofErr w:type="spellStart"/>
      <w:r w:rsidRPr="00B053EA">
        <w:rPr>
          <w:rFonts w:ascii="Calibri" w:hAnsi="Calibri" w:cs="Calibri"/>
          <w:sz w:val="22"/>
          <w:szCs w:val="22"/>
        </w:rPr>
        <w:t>sal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egészül ki:</w:t>
      </w:r>
    </w:p>
    <w:p w14:paraId="54809B6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„34/A. §</w:t>
      </w:r>
    </w:p>
    <w:p w14:paraId="64D5CD59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lastRenderedPageBreak/>
        <w:t>A bérlakásban lakó egészségi állapotára tekintettel a bérleti szerződés közös megegyezéssel történő megszüntetésével egyidejűleg a bérlő részére másik önkormányzati lakás kijelölésére a Bizottság jogosult. Az erre irányuló kérelemhez mellékelni kell az egészségi állapotra vonatkozó igazolást.</w:t>
      </w:r>
    </w:p>
    <w:p w14:paraId="7933CBDC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34/B. §</w:t>
      </w:r>
    </w:p>
    <w:p w14:paraId="5320B2C7" w14:textId="35F1F43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(1) A bérlő minőségi lakáscserére irányuló kérelme és a Bizottság döntése alapján</w:t>
      </w:r>
      <w:r>
        <w:rPr>
          <w:rFonts w:ascii="Calibri" w:hAnsi="Calibri" w:cs="Calibri"/>
          <w:sz w:val="22"/>
          <w:szCs w:val="22"/>
        </w:rPr>
        <w:t xml:space="preserve"> </w:t>
      </w:r>
      <w:r w:rsidRPr="00B053EA">
        <w:rPr>
          <w:rFonts w:ascii="Calibri" w:hAnsi="Calibri" w:cs="Calibri"/>
          <w:sz w:val="22"/>
          <w:szCs w:val="22"/>
        </w:rPr>
        <w:t>a bérleti szerződés közös megegyezéssel történő megszüntetésével egyidejűleg a bérlő részére másik önkormányzati lakás adható bérbe, amennyiben</w:t>
      </w:r>
    </w:p>
    <w:p w14:paraId="28775FE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a lakás műszaki véleménnyel alátámasztott egészségre ártalmas állapota azt szükségessé teszi,</w:t>
      </w:r>
    </w:p>
    <w:p w14:paraId="06A5D73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a bérlő a kiadások csökkentése érdekében kisebb alapterületű vagy kevesebb szobaszámú önkormányzati lakás biztosítását kérelmezi, vagy</w:t>
      </w:r>
    </w:p>
    <w:p w14:paraId="233E0D5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 xml:space="preserve">a bérlő és a vele együtt lakó vagy költöző személyekre számított lakásnagyság a 8. § (3) bekezdése szerinti jogos lakásigénye mértékének felső határát nem éri el, és a bérlő nagyobb alapterületű, vagy nagyobb szobaszámú önkormányzati lakás bérbeadását kérelmezi, </w:t>
      </w:r>
    </w:p>
    <w:p w14:paraId="1E9334A0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és nem állapítható meg az e rendeletben meghatározott egyéb kizáró ok.</w:t>
      </w:r>
    </w:p>
    <w:p w14:paraId="1056AC6E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(2) A bérlő a csere iránti kérelem benyújtásakor köteles igazolni, hogy a cserével érintett bérleményén nem áll fenn bérleti díjtartozás, és a közműszolgáltatók felé sincs lejárt tartozása.</w:t>
      </w:r>
    </w:p>
    <w:p w14:paraId="6821A451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(3) Amennyiben a cserelakás bérbeadására a bérlő általi helyreállítás vállalásával történik, a bérlő által a helyreállításra fordított, a kezelő által elismert költséget a mindenkor érvényes bérleti díj havi összegébe be kell számítani akként, hogy a helyreállítás összege a legrövidebb időn belül megtérüljön a bérlőnek. A helyreállítás költségének egyéb módon történő megtérítésére lehetőség nincs.</w:t>
      </w:r>
    </w:p>
    <w:p w14:paraId="6DA9A5A5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(4) Cserelakás bérbeadása esetén a bérlővel a korábbi lakásbérleti szerződés időtartamával megegyező szerződést kell kötni.</w:t>
      </w:r>
    </w:p>
    <w:p w14:paraId="20448C33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(5) A Bizottság döntését a Polgármesteri Hivatal által készített környezettanulmány és a kezelő műszaki szakvéleménye figyelembevételével hozza meg.”</w:t>
      </w:r>
    </w:p>
    <w:p w14:paraId="00C351AE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12. §</w:t>
      </w:r>
    </w:p>
    <w:p w14:paraId="602128D2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 xml:space="preserve">A Rendelet 36. §-a </w:t>
      </w:r>
      <w:proofErr w:type="spellStart"/>
      <w:r w:rsidRPr="00B053EA">
        <w:rPr>
          <w:rFonts w:ascii="Calibri" w:hAnsi="Calibri" w:cs="Calibri"/>
          <w:sz w:val="22"/>
          <w:szCs w:val="22"/>
        </w:rPr>
        <w:t>a</w:t>
      </w:r>
      <w:proofErr w:type="spellEnd"/>
      <w:r w:rsidRPr="00B053EA">
        <w:rPr>
          <w:rFonts w:ascii="Calibri" w:hAnsi="Calibri" w:cs="Calibri"/>
          <w:sz w:val="22"/>
          <w:szCs w:val="22"/>
        </w:rPr>
        <w:t xml:space="preserve"> következő (5) bekezdéssel egészül ki:</w:t>
      </w:r>
    </w:p>
    <w:p w14:paraId="7327EB5C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 xml:space="preserve">„(5) A szociális helyzet, továbbá a 3. § </w:t>
      </w:r>
      <w:r w:rsidRPr="0074293A">
        <w:rPr>
          <w:rFonts w:ascii="Calibri" w:hAnsi="Calibri" w:cs="Calibri"/>
          <w:sz w:val="22"/>
          <w:szCs w:val="22"/>
        </w:rPr>
        <w:t>ad)</w:t>
      </w:r>
      <w:r w:rsidRPr="00B053EA">
        <w:rPr>
          <w:rFonts w:ascii="Calibri" w:hAnsi="Calibri" w:cs="Calibri"/>
          <w:sz w:val="22"/>
          <w:szCs w:val="22"/>
        </w:rPr>
        <w:t xml:space="preserve"> pontja alapján bérbe adott lakás bérlője, vagy használója – a kezelő felhívása alapján – évente egy alkalommal köteles igazolni háztartása jövedelmi viszonyait.”</w:t>
      </w:r>
    </w:p>
    <w:p w14:paraId="5D7D236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13. §</w:t>
      </w:r>
    </w:p>
    <w:p w14:paraId="24C31CE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 38. § (3) bekezdése helyébe a következő rendelkezés lép:</w:t>
      </w:r>
    </w:p>
    <w:p w14:paraId="6C397E05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„(3) A 39. § (1) bekezdés szerinti megállapodás egy példányát a szociális szolgáltató köteles megküldeni a kezelőnek és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.”</w:t>
      </w:r>
    </w:p>
    <w:p w14:paraId="74A4826B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14. §</w:t>
      </w:r>
    </w:p>
    <w:p w14:paraId="662C45C5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(1) A Rendelet 41. § (1) bekezdése helyébe a következő rendelkezés lép:</w:t>
      </w:r>
    </w:p>
    <w:p w14:paraId="4B7D7CFE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„(1) A 3. § a) pontja szerinti átmeneti szállás használóját – a szakmai osztály által készített környezettanulmány alapján – a Bizottság jelöli ki.”</w:t>
      </w:r>
    </w:p>
    <w:p w14:paraId="283101BA" w14:textId="77777777" w:rsidR="007F00A8" w:rsidRPr="00B053EA" w:rsidRDefault="00074A1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(2) A Rendelet 41. § (5) bekezdése helyébe a következő rendelkezés lép:</w:t>
      </w:r>
    </w:p>
    <w:p w14:paraId="7B1C1429" w14:textId="77777777" w:rsidR="007F00A8" w:rsidRPr="00B053EA" w:rsidRDefault="00074A1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lastRenderedPageBreak/>
        <w:t>„(5) A szállás legfeljebb egy évig használható. A használatot indokolt esetben kérelemre, további egy évvel - a szakmai osztály által készített környezettanulmány alapján – a Bizottság meghosszabbítja, amennyiben a szálláshasználónak szálláshasználati, valamint közüzemi díj tartozása nincs, és kérelmező, valamint a vele együttköltöző személyek nem rendelkeznek vagyonnal, amit az ingatlanügyi hatóság által kiállított ingatlantulajdon fennállásáról szóló hatósági bizonyítvánnyal igazol. A használat meghosszabbítása esetén a használati díjat újból meg kell állapítani.”</w:t>
      </w:r>
    </w:p>
    <w:p w14:paraId="7F3E4FB1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15. §</w:t>
      </w:r>
    </w:p>
    <w:p w14:paraId="14844199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A Rendelet</w:t>
      </w:r>
    </w:p>
    <w:p w14:paraId="30D54DA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1.</w:t>
      </w:r>
      <w:r w:rsidRPr="00B053EA">
        <w:rPr>
          <w:rFonts w:ascii="Calibri" w:hAnsi="Calibri" w:cs="Calibri"/>
          <w:sz w:val="22"/>
          <w:szCs w:val="22"/>
        </w:rPr>
        <w:tab/>
        <w:t>3. § c) pontjában a „kezelő” szövegrész helyébe a „SZOVA” szöveg,</w:t>
      </w:r>
    </w:p>
    <w:p w14:paraId="02107C3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2.</w:t>
      </w:r>
      <w:r w:rsidRPr="00B053EA">
        <w:rPr>
          <w:rFonts w:ascii="Calibri" w:hAnsi="Calibri" w:cs="Calibri"/>
          <w:sz w:val="22"/>
          <w:szCs w:val="22"/>
        </w:rPr>
        <w:tab/>
        <w:t>4. § (1) bekezdés nyitó szövegrészében a „kezelő” szövegrész helyébe a „SZOVA” szöveg,</w:t>
      </w:r>
    </w:p>
    <w:p w14:paraId="4D7A62E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3.</w:t>
      </w:r>
      <w:r w:rsidRPr="00B053EA">
        <w:rPr>
          <w:rFonts w:ascii="Calibri" w:hAnsi="Calibri" w:cs="Calibri"/>
          <w:sz w:val="22"/>
          <w:szCs w:val="22"/>
        </w:rPr>
        <w:tab/>
        <w:t>5. § (1) bekezdés f)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B31541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4.</w:t>
      </w:r>
      <w:r w:rsidRPr="00B053EA">
        <w:rPr>
          <w:rFonts w:ascii="Calibri" w:hAnsi="Calibri" w:cs="Calibri"/>
          <w:sz w:val="22"/>
          <w:szCs w:val="22"/>
        </w:rPr>
        <w:tab/>
        <w:t>5. § (1) bekezdés g) pontjában a „kezelő” szövegrész helyébe a „Polgármesteri Hivatal bérleménykezelési feladatokat ellátó szervezeti egysége (a továbbiakban: kezelő)” szöveg,</w:t>
      </w:r>
    </w:p>
    <w:p w14:paraId="5E7315B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5.</w:t>
      </w:r>
      <w:r w:rsidRPr="00B053EA">
        <w:rPr>
          <w:rFonts w:ascii="Calibri" w:hAnsi="Calibri" w:cs="Calibri"/>
          <w:sz w:val="22"/>
          <w:szCs w:val="22"/>
        </w:rPr>
        <w:tab/>
        <w:t>6. § (2) bekezdésében a „kezelő” szövegrész helyébe a „SZOVA” szöveg,</w:t>
      </w:r>
    </w:p>
    <w:p w14:paraId="001441E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6.</w:t>
      </w:r>
      <w:r w:rsidRPr="00B053EA">
        <w:rPr>
          <w:rFonts w:ascii="Calibri" w:hAnsi="Calibri" w:cs="Calibri"/>
          <w:sz w:val="22"/>
          <w:szCs w:val="22"/>
        </w:rPr>
        <w:tab/>
        <w:t>7. § (1) bekezdés nyitó szövegrészében a „kezelő” szövegrész helyébe a „SZOVA” szöveg,</w:t>
      </w:r>
    </w:p>
    <w:p w14:paraId="2430240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7.</w:t>
      </w:r>
      <w:r w:rsidRPr="00B053EA">
        <w:rPr>
          <w:rFonts w:ascii="Calibri" w:hAnsi="Calibri" w:cs="Calibri"/>
          <w:sz w:val="22"/>
          <w:szCs w:val="22"/>
        </w:rPr>
        <w:tab/>
        <w:t>8. § (1) bekezdés g)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5E267A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8.</w:t>
      </w:r>
      <w:r w:rsidRPr="00B053EA">
        <w:rPr>
          <w:rFonts w:ascii="Calibri" w:hAnsi="Calibri" w:cs="Calibri"/>
          <w:sz w:val="22"/>
          <w:szCs w:val="22"/>
        </w:rPr>
        <w:tab/>
        <w:t>10. § (1) bekezdésében a „kezelőt” szövegrész helyébe a „SZOVA-t” szöveg és a „kezelő” szövegrész helyébe a „SZOVA” szöveg,</w:t>
      </w:r>
    </w:p>
    <w:p w14:paraId="39B01E2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9.</w:t>
      </w:r>
      <w:r w:rsidRPr="00B053EA">
        <w:rPr>
          <w:rFonts w:ascii="Calibri" w:hAnsi="Calibri" w:cs="Calibri"/>
          <w:sz w:val="22"/>
          <w:szCs w:val="22"/>
        </w:rPr>
        <w:tab/>
        <w:t>11. § (1) bekezdés nyitó szövegrészében a „kezelő” szövegrészek helyébe a „SZOVA” szöveg,</w:t>
      </w:r>
    </w:p>
    <w:p w14:paraId="3480C05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10.</w:t>
      </w:r>
      <w:r w:rsidRPr="00B053EA">
        <w:rPr>
          <w:rFonts w:ascii="Calibri" w:hAnsi="Calibri" w:cs="Calibri"/>
          <w:sz w:val="22"/>
          <w:szCs w:val="22"/>
        </w:rPr>
        <w:tab/>
        <w:t>11. § (1) bekezdés c) pontjában a „kezelő” szövegrész helyébe a „SZOVA” szöveg,</w:t>
      </w:r>
    </w:p>
    <w:p w14:paraId="4A608A9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11.</w:t>
      </w:r>
      <w:r w:rsidRPr="00B053EA">
        <w:rPr>
          <w:rFonts w:ascii="Calibri" w:hAnsi="Calibri" w:cs="Calibri"/>
          <w:sz w:val="22"/>
          <w:szCs w:val="22"/>
        </w:rPr>
        <w:tab/>
        <w:t>11. § (2) bekezdésében a „kezelő” szövegrész helyébe a „SZOVA” szöveg,</w:t>
      </w:r>
    </w:p>
    <w:p w14:paraId="74B1EF1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12.</w:t>
      </w:r>
      <w:r w:rsidRPr="00B053EA">
        <w:rPr>
          <w:rFonts w:ascii="Calibri" w:hAnsi="Calibri" w:cs="Calibri"/>
          <w:sz w:val="22"/>
          <w:szCs w:val="22"/>
        </w:rPr>
        <w:tab/>
        <w:t>11. § (4) bekezdés b) pontjában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692F1C1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13.</w:t>
      </w:r>
      <w:r w:rsidRPr="00B053EA">
        <w:rPr>
          <w:rFonts w:ascii="Calibri" w:hAnsi="Calibri" w:cs="Calibri"/>
          <w:sz w:val="22"/>
          <w:szCs w:val="22"/>
        </w:rPr>
        <w:tab/>
        <w:t>11. § (4) bekezdés c) pontjában a „kezelő” szövegrész helyébe a „SZOVA” szöveg,</w:t>
      </w:r>
    </w:p>
    <w:p w14:paraId="4F54FE8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14.</w:t>
      </w:r>
      <w:r w:rsidRPr="00B053EA">
        <w:rPr>
          <w:rFonts w:ascii="Calibri" w:hAnsi="Calibri" w:cs="Calibri"/>
          <w:sz w:val="22"/>
          <w:szCs w:val="22"/>
        </w:rPr>
        <w:tab/>
        <w:t>12. § (1) bekezdésében a „kezelőt” szövegrész helyébe a „SZOVA-t” szöveg,</w:t>
      </w:r>
    </w:p>
    <w:p w14:paraId="0AB4B9D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15.</w:t>
      </w:r>
      <w:r w:rsidRPr="00B053EA">
        <w:rPr>
          <w:rFonts w:ascii="Calibri" w:hAnsi="Calibri" w:cs="Calibri"/>
          <w:sz w:val="22"/>
          <w:szCs w:val="22"/>
        </w:rPr>
        <w:tab/>
        <w:t>12. § (3) bekezdésében a „kezelő” szövegrészek helyébe a „SZOVA” szöveg és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24B17B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16.</w:t>
      </w:r>
      <w:r w:rsidRPr="00B053EA">
        <w:rPr>
          <w:rFonts w:ascii="Calibri" w:hAnsi="Calibri" w:cs="Calibri"/>
          <w:sz w:val="22"/>
          <w:szCs w:val="22"/>
        </w:rPr>
        <w:tab/>
        <w:t>13. § (2) bekezdésében a „kezelő” szövegrészek helyébe a „SZOVA” szöveg,</w:t>
      </w:r>
    </w:p>
    <w:p w14:paraId="25D8DB4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17.</w:t>
      </w:r>
      <w:r w:rsidRPr="00B053EA">
        <w:rPr>
          <w:rFonts w:ascii="Calibri" w:hAnsi="Calibri" w:cs="Calibri"/>
          <w:sz w:val="22"/>
          <w:szCs w:val="22"/>
        </w:rPr>
        <w:tab/>
        <w:t>14. § (3) bekezdésében a „kezelő” szövegrész helyébe a „SZOVA” szöveg,</w:t>
      </w:r>
    </w:p>
    <w:p w14:paraId="0B614E4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18.</w:t>
      </w:r>
      <w:r w:rsidRPr="00B053EA">
        <w:rPr>
          <w:rFonts w:ascii="Calibri" w:hAnsi="Calibri" w:cs="Calibri"/>
          <w:sz w:val="22"/>
          <w:szCs w:val="22"/>
        </w:rPr>
        <w:tab/>
        <w:t>17. § (2) bekezdésében a „kezelő” szövegrész helyébe a „SZOVA” szöveg,</w:t>
      </w:r>
    </w:p>
    <w:p w14:paraId="2F04833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19.</w:t>
      </w:r>
      <w:r w:rsidRPr="00B053EA">
        <w:rPr>
          <w:rFonts w:ascii="Calibri" w:hAnsi="Calibri" w:cs="Calibri"/>
          <w:sz w:val="22"/>
          <w:szCs w:val="22"/>
        </w:rPr>
        <w:tab/>
        <w:t>18. § (1) bekezdésében a „kezelő” szövegrész helyébe a „SZOVA” szöveg,</w:t>
      </w:r>
    </w:p>
    <w:p w14:paraId="5B2B6A4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20.</w:t>
      </w:r>
      <w:r w:rsidRPr="00B053EA">
        <w:rPr>
          <w:rFonts w:ascii="Calibri" w:hAnsi="Calibri" w:cs="Calibri"/>
          <w:sz w:val="22"/>
          <w:szCs w:val="22"/>
        </w:rPr>
        <w:tab/>
        <w:t>18. § (2) bekezdés nyitó szövegrészében a „kezelő” szövegrész helyébe a „SZOVA” szöveg,</w:t>
      </w:r>
    </w:p>
    <w:p w14:paraId="2B997C6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21.</w:t>
      </w:r>
      <w:r w:rsidRPr="00B053EA">
        <w:rPr>
          <w:rFonts w:ascii="Calibri" w:hAnsi="Calibri" w:cs="Calibri"/>
          <w:sz w:val="22"/>
          <w:szCs w:val="22"/>
        </w:rPr>
        <w:tab/>
        <w:t>20. § (2) bekezdésében a „kezelő” szövegrész helyébe a „SZOVA” szöveg,</w:t>
      </w:r>
    </w:p>
    <w:p w14:paraId="3A45C432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22.</w:t>
      </w:r>
      <w:r w:rsidRPr="00B053EA">
        <w:rPr>
          <w:rFonts w:ascii="Calibri" w:hAnsi="Calibri" w:cs="Calibri"/>
          <w:sz w:val="22"/>
          <w:szCs w:val="22"/>
        </w:rPr>
        <w:tab/>
        <w:t>21. § (4) bekezdésében a „kezelő” szövegrész helyébe a „SZOVA” szöveg,</w:t>
      </w:r>
    </w:p>
    <w:p w14:paraId="2184910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23.</w:t>
      </w:r>
      <w:r w:rsidRPr="00B053EA">
        <w:rPr>
          <w:rFonts w:ascii="Calibri" w:hAnsi="Calibri" w:cs="Calibri"/>
          <w:sz w:val="22"/>
          <w:szCs w:val="22"/>
        </w:rPr>
        <w:tab/>
        <w:t>24. § (1)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75BC6B5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24.</w:t>
      </w:r>
      <w:r w:rsidRPr="00B053EA">
        <w:rPr>
          <w:rFonts w:ascii="Calibri" w:hAnsi="Calibri" w:cs="Calibri"/>
          <w:sz w:val="22"/>
          <w:szCs w:val="22"/>
        </w:rPr>
        <w:tab/>
        <w:t>24. § (4) bekezdésében a „kezelő” szövegrészek helyébe a „SZOVA” szöveg,</w:t>
      </w:r>
    </w:p>
    <w:p w14:paraId="586FED5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25.</w:t>
      </w:r>
      <w:r w:rsidRPr="00B053EA">
        <w:rPr>
          <w:rFonts w:ascii="Calibri" w:hAnsi="Calibri" w:cs="Calibri"/>
          <w:sz w:val="22"/>
          <w:szCs w:val="22"/>
        </w:rPr>
        <w:tab/>
        <w:t>25. § (3)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8F0BD3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26.</w:t>
      </w:r>
      <w:r w:rsidRPr="00B053EA">
        <w:rPr>
          <w:rFonts w:ascii="Calibri" w:hAnsi="Calibri" w:cs="Calibri"/>
          <w:sz w:val="22"/>
          <w:szCs w:val="22"/>
        </w:rPr>
        <w:tab/>
        <w:t>26. § (1) bekezdés nyitó szövegrészében a „kezelő” szövegrész helyébe a „SZOVA” szöveg és a „polgármester” szövegrész helyébe a „Bizottság” szöveg,</w:t>
      </w:r>
    </w:p>
    <w:p w14:paraId="2697603D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27.</w:t>
      </w:r>
      <w:r w:rsidRPr="00B053EA">
        <w:rPr>
          <w:rFonts w:ascii="Calibri" w:hAnsi="Calibri" w:cs="Calibri"/>
          <w:sz w:val="22"/>
          <w:szCs w:val="22"/>
        </w:rPr>
        <w:tab/>
        <w:t>26. § (2) bekezdésében a „kezelőt” szövegrész helyébe a „SZOVA-t” szöveg,</w:t>
      </w:r>
    </w:p>
    <w:p w14:paraId="1853D0A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28.</w:t>
      </w:r>
      <w:r w:rsidRPr="00B053EA">
        <w:rPr>
          <w:rFonts w:ascii="Calibri" w:hAnsi="Calibri" w:cs="Calibri"/>
          <w:sz w:val="22"/>
          <w:szCs w:val="22"/>
        </w:rPr>
        <w:tab/>
        <w:t>27. § (3) bekezdésében a „kezelő” szövegrész helyébe a „SZOVA” szöveg,</w:t>
      </w:r>
    </w:p>
    <w:p w14:paraId="6278CEB1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29.</w:t>
      </w:r>
      <w:r w:rsidRPr="00B053EA">
        <w:rPr>
          <w:rFonts w:ascii="Calibri" w:hAnsi="Calibri" w:cs="Calibri"/>
          <w:sz w:val="22"/>
          <w:szCs w:val="22"/>
        </w:rPr>
        <w:tab/>
        <w:t>27. § (6)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F9E3A5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30.</w:t>
      </w:r>
      <w:r w:rsidRPr="00B053EA">
        <w:rPr>
          <w:rFonts w:ascii="Calibri" w:hAnsi="Calibri" w:cs="Calibri"/>
          <w:sz w:val="22"/>
          <w:szCs w:val="22"/>
        </w:rPr>
        <w:tab/>
        <w:t>28. § (3) bekezdésében a „kezelő” szövegrész helyébe a „SZOVA” szöveg,</w:t>
      </w:r>
    </w:p>
    <w:p w14:paraId="0430CD8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31.</w:t>
      </w:r>
      <w:r w:rsidRPr="00B053EA">
        <w:rPr>
          <w:rFonts w:ascii="Calibri" w:hAnsi="Calibri" w:cs="Calibri"/>
          <w:sz w:val="22"/>
          <w:szCs w:val="22"/>
        </w:rPr>
        <w:tab/>
        <w:t>28. § (5) bekezdésében a „kezelő szervvel”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5F48CD04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32.</w:t>
      </w:r>
      <w:r w:rsidRPr="00B053EA">
        <w:rPr>
          <w:rFonts w:ascii="Calibri" w:hAnsi="Calibri" w:cs="Calibri"/>
          <w:sz w:val="22"/>
          <w:szCs w:val="22"/>
        </w:rPr>
        <w:tab/>
        <w:t>29. § (1) bekezdésében a „polgármester előzetes írásbeli” szövegrész helyébe a „Bizottság” szöveg,</w:t>
      </w:r>
    </w:p>
    <w:p w14:paraId="06EDF5A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33.</w:t>
      </w:r>
      <w:r w:rsidRPr="00B053EA">
        <w:rPr>
          <w:rFonts w:ascii="Calibri" w:hAnsi="Calibri" w:cs="Calibri"/>
          <w:sz w:val="22"/>
          <w:szCs w:val="22"/>
        </w:rPr>
        <w:tab/>
        <w:t>32. § (1) bekezdésében a „polgármester” szövegrész helyébe a „Bizottság” szöveg,</w:t>
      </w:r>
    </w:p>
    <w:p w14:paraId="71F61AC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34.</w:t>
      </w:r>
      <w:r w:rsidRPr="00B053EA">
        <w:rPr>
          <w:rFonts w:ascii="Calibri" w:hAnsi="Calibri" w:cs="Calibri"/>
          <w:sz w:val="22"/>
          <w:szCs w:val="22"/>
        </w:rPr>
        <w:tab/>
        <w:t>32. § (2) bekezdésében a „kezelőt” szövegrész helyébe a „SZOVA-t” szöveg,</w:t>
      </w:r>
    </w:p>
    <w:p w14:paraId="096D271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35.</w:t>
      </w:r>
      <w:r w:rsidRPr="00B053EA">
        <w:rPr>
          <w:rFonts w:ascii="Calibri" w:hAnsi="Calibri" w:cs="Calibri"/>
          <w:sz w:val="22"/>
          <w:szCs w:val="22"/>
        </w:rPr>
        <w:tab/>
        <w:t>33. § (3) bekezdésében a „kezelő” szövegrész helyébe a „SZOVA” szöveg,</w:t>
      </w:r>
    </w:p>
    <w:p w14:paraId="3B819A9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36.</w:t>
      </w:r>
      <w:r w:rsidRPr="00B053EA">
        <w:rPr>
          <w:rFonts w:ascii="Calibri" w:hAnsi="Calibri" w:cs="Calibri"/>
          <w:sz w:val="22"/>
          <w:szCs w:val="22"/>
        </w:rPr>
        <w:tab/>
        <w:t>35. § (1) bekezdésében a „polgármester előzetes írásbeli” szövegrész helyébe a „Bizottság” szöveg,</w:t>
      </w:r>
    </w:p>
    <w:p w14:paraId="76134DC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37.</w:t>
      </w:r>
      <w:r w:rsidRPr="00B053EA">
        <w:rPr>
          <w:rFonts w:ascii="Calibri" w:hAnsi="Calibri" w:cs="Calibri"/>
          <w:sz w:val="22"/>
          <w:szCs w:val="22"/>
        </w:rPr>
        <w:tab/>
        <w:t>37. § (1) bekezdésében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 és a „kezelőt” szövegrész helyébe a „SZOVA-t” szöveg,</w:t>
      </w:r>
    </w:p>
    <w:p w14:paraId="5D9C498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lastRenderedPageBreak/>
        <w:t>38.</w:t>
      </w:r>
      <w:r w:rsidRPr="00B053EA">
        <w:rPr>
          <w:rFonts w:ascii="Calibri" w:hAnsi="Calibri" w:cs="Calibri"/>
          <w:sz w:val="22"/>
          <w:szCs w:val="22"/>
        </w:rPr>
        <w:tab/>
        <w:t>37. § (4) bekezdésében a „kezelőt” szövegrész helyébe a „SZOVA-t” szöveg,</w:t>
      </w:r>
    </w:p>
    <w:p w14:paraId="4FBD7F5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39.</w:t>
      </w:r>
      <w:r w:rsidRPr="00B053EA">
        <w:rPr>
          <w:rFonts w:ascii="Calibri" w:hAnsi="Calibri" w:cs="Calibri"/>
          <w:sz w:val="22"/>
          <w:szCs w:val="22"/>
        </w:rPr>
        <w:tab/>
        <w:t>37. § (5) bekezdésében a „kezelő” szövegrész helyébe a „SZOVA” szöveg és a „polgármester” szövegrész helyébe a „Bizottság” szöveg,</w:t>
      </w:r>
    </w:p>
    <w:p w14:paraId="33CBB28E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40.</w:t>
      </w:r>
      <w:r w:rsidRPr="00B053EA">
        <w:rPr>
          <w:rFonts w:ascii="Calibri" w:hAnsi="Calibri" w:cs="Calibri"/>
          <w:sz w:val="22"/>
          <w:szCs w:val="22"/>
        </w:rPr>
        <w:tab/>
        <w:t>38. § (1) bekezdésében a „polgármester a kezelővel” szövegrész helyébe a „Bizottság a 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288DCC07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41.</w:t>
      </w:r>
      <w:r w:rsidRPr="00B053EA">
        <w:rPr>
          <w:rFonts w:ascii="Calibri" w:hAnsi="Calibri" w:cs="Calibri"/>
          <w:sz w:val="22"/>
          <w:szCs w:val="22"/>
        </w:rPr>
        <w:tab/>
        <w:t>38. § (4) bekezdésében a „kezelő” szövegrész helyébe a „SZOVA” szöveg és a „polgármester” szövegrész helyébe a „Bizottság” szöveg,</w:t>
      </w:r>
    </w:p>
    <w:p w14:paraId="62D8E53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42.</w:t>
      </w:r>
      <w:r w:rsidRPr="00B053EA">
        <w:rPr>
          <w:rFonts w:ascii="Calibri" w:hAnsi="Calibri" w:cs="Calibri"/>
          <w:sz w:val="22"/>
          <w:szCs w:val="22"/>
        </w:rPr>
        <w:tab/>
        <w:t>38. § (5) bekezdésében a „kezelőt” szövegrész helyébe a „SZOVA-t” szöveg és a „kezelő” szövegrész helyébe a „SZOVA” szöveg,</w:t>
      </w:r>
    </w:p>
    <w:p w14:paraId="35DF0D95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43.</w:t>
      </w:r>
      <w:r w:rsidRPr="00B053EA">
        <w:rPr>
          <w:rFonts w:ascii="Calibri" w:hAnsi="Calibri" w:cs="Calibri"/>
          <w:sz w:val="22"/>
          <w:szCs w:val="22"/>
        </w:rPr>
        <w:tab/>
        <w:t>39. § (2)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918DE5A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44.</w:t>
      </w:r>
      <w:r w:rsidRPr="00B053EA">
        <w:rPr>
          <w:rFonts w:ascii="Calibri" w:hAnsi="Calibri" w:cs="Calibri"/>
          <w:sz w:val="22"/>
          <w:szCs w:val="22"/>
        </w:rPr>
        <w:tab/>
        <w:t>39. § (4) bekezdésében a „kezelő” szövegrész helyébe a „SZOVA” szöveg,</w:t>
      </w:r>
    </w:p>
    <w:p w14:paraId="5A16F8A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45.</w:t>
      </w:r>
      <w:r w:rsidRPr="00B053EA">
        <w:rPr>
          <w:rFonts w:ascii="Calibri" w:hAnsi="Calibri" w:cs="Calibri"/>
          <w:sz w:val="22"/>
          <w:szCs w:val="22"/>
        </w:rPr>
        <w:tab/>
        <w:t>41. § (4) bekezdésében a „kezelőnek”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nak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3E4D6C2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46.</w:t>
      </w:r>
      <w:r w:rsidRPr="00B053EA">
        <w:rPr>
          <w:rFonts w:ascii="Calibri" w:hAnsi="Calibri" w:cs="Calibri"/>
          <w:sz w:val="22"/>
          <w:szCs w:val="22"/>
        </w:rPr>
        <w:tab/>
        <w:t>41. § (7) bekezdésében a „kezelő” szövegrész helyébe a „SZOVA” szöveg,</w:t>
      </w:r>
    </w:p>
    <w:p w14:paraId="3B3B772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47.</w:t>
      </w:r>
      <w:r w:rsidRPr="00B053EA">
        <w:rPr>
          <w:rFonts w:ascii="Calibri" w:hAnsi="Calibri" w:cs="Calibri"/>
          <w:sz w:val="22"/>
          <w:szCs w:val="22"/>
        </w:rPr>
        <w:tab/>
        <w:t>46. § (2) bekezdésében a „kezelőt” szövegrész helyébe a „SZOVA-t” szöveg,</w:t>
      </w:r>
    </w:p>
    <w:p w14:paraId="7355E7BB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48.</w:t>
      </w:r>
      <w:r w:rsidRPr="00B053EA">
        <w:rPr>
          <w:rFonts w:ascii="Calibri" w:hAnsi="Calibri" w:cs="Calibri"/>
          <w:sz w:val="22"/>
          <w:szCs w:val="22"/>
        </w:rPr>
        <w:tab/>
        <w:t>46. § (3) bekezdésében a „kezelővel” szövegrész helyébe a „SZOVA-</w:t>
      </w:r>
      <w:proofErr w:type="spellStart"/>
      <w:r w:rsidRPr="00B053EA">
        <w:rPr>
          <w:rFonts w:ascii="Calibri" w:hAnsi="Calibri" w:cs="Calibri"/>
          <w:sz w:val="22"/>
          <w:szCs w:val="22"/>
        </w:rPr>
        <w:t>val</w:t>
      </w:r>
      <w:proofErr w:type="spellEnd"/>
      <w:r w:rsidRPr="00B053EA">
        <w:rPr>
          <w:rFonts w:ascii="Calibri" w:hAnsi="Calibri" w:cs="Calibri"/>
          <w:sz w:val="22"/>
          <w:szCs w:val="22"/>
        </w:rPr>
        <w:t>” szöveg,</w:t>
      </w:r>
    </w:p>
    <w:p w14:paraId="41A7DA5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49.</w:t>
      </w:r>
      <w:r w:rsidRPr="00B053EA">
        <w:rPr>
          <w:rFonts w:ascii="Calibri" w:hAnsi="Calibri" w:cs="Calibri"/>
          <w:sz w:val="22"/>
          <w:szCs w:val="22"/>
        </w:rPr>
        <w:tab/>
        <w:t>47. § (1) bekezdésében a „kezelő” szövegrész helyébe a „SZOVA” szöveg,</w:t>
      </w:r>
    </w:p>
    <w:p w14:paraId="5F70C4C6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50.</w:t>
      </w:r>
      <w:r w:rsidRPr="00B053EA">
        <w:rPr>
          <w:rFonts w:ascii="Calibri" w:hAnsi="Calibri" w:cs="Calibri"/>
          <w:sz w:val="22"/>
          <w:szCs w:val="22"/>
        </w:rPr>
        <w:tab/>
        <w:t>49. § nyitó szövegrészében a „kezelő” szövegrész helyébe a „SZOVA” szöveg,</w:t>
      </w:r>
    </w:p>
    <w:p w14:paraId="0439D978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51.</w:t>
      </w:r>
      <w:r w:rsidRPr="00B053EA">
        <w:rPr>
          <w:rFonts w:ascii="Calibri" w:hAnsi="Calibri" w:cs="Calibri"/>
          <w:sz w:val="22"/>
          <w:szCs w:val="22"/>
        </w:rPr>
        <w:tab/>
        <w:t>51. § (3) bekezdésében a „kezelő” szövegrész helyébe a „SZOVA” szöveg,</w:t>
      </w:r>
    </w:p>
    <w:p w14:paraId="3A587589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52.</w:t>
      </w:r>
      <w:r w:rsidRPr="00B053EA">
        <w:rPr>
          <w:rFonts w:ascii="Calibri" w:hAnsi="Calibri" w:cs="Calibri"/>
          <w:sz w:val="22"/>
          <w:szCs w:val="22"/>
        </w:rPr>
        <w:tab/>
        <w:t>54. § (1) bekezdés nyitó szövegrészében a „kezelő” szövegrész helyébe a „SZOVA” szöveg,</w:t>
      </w:r>
    </w:p>
    <w:p w14:paraId="6EA1D14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53.</w:t>
      </w:r>
      <w:r w:rsidRPr="00B053EA">
        <w:rPr>
          <w:rFonts w:ascii="Calibri" w:hAnsi="Calibri" w:cs="Calibri"/>
          <w:sz w:val="22"/>
          <w:szCs w:val="22"/>
        </w:rPr>
        <w:tab/>
        <w:t>56. § (2) bekezdésében a „kezelőt” szövegrész helyébe a „SZOVA-t” szöveg és a „kezelő” szövegrész helyébe a „SZOVA” szöveg,</w:t>
      </w:r>
    </w:p>
    <w:p w14:paraId="50E74A38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54.</w:t>
      </w:r>
      <w:r w:rsidRPr="00B053EA">
        <w:rPr>
          <w:rFonts w:ascii="Calibri" w:hAnsi="Calibri" w:cs="Calibri"/>
          <w:sz w:val="22"/>
          <w:szCs w:val="22"/>
        </w:rPr>
        <w:tab/>
        <w:t>66. § (3) bekezdésében a „kezelő” szövegrész helyébe a „SZOVA” szöveg,</w:t>
      </w:r>
    </w:p>
    <w:p w14:paraId="541718B0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55.</w:t>
      </w:r>
      <w:r w:rsidRPr="00B053EA">
        <w:rPr>
          <w:rFonts w:ascii="Calibri" w:hAnsi="Calibri" w:cs="Calibri"/>
          <w:sz w:val="22"/>
          <w:szCs w:val="22"/>
        </w:rPr>
        <w:tab/>
        <w:t>72. § (1) bekezdés d) pontjában a „kezelő” szövegrész helyébe a „SZOVA” szöveg</w:t>
      </w:r>
    </w:p>
    <w:p w14:paraId="151B09AE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lép.</w:t>
      </w:r>
    </w:p>
    <w:p w14:paraId="494F27B6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16. §</w:t>
      </w:r>
    </w:p>
    <w:p w14:paraId="7CB3403D" w14:textId="77777777" w:rsidR="007F00A8" w:rsidRPr="00B053EA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Hatályát veszti a Rendelet</w:t>
      </w:r>
    </w:p>
    <w:p w14:paraId="03B45D2C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a)</w:t>
      </w:r>
      <w:r w:rsidRPr="00B053EA">
        <w:rPr>
          <w:rFonts w:ascii="Calibri" w:hAnsi="Calibri" w:cs="Calibri"/>
          <w:sz w:val="22"/>
          <w:szCs w:val="22"/>
        </w:rPr>
        <w:tab/>
        <w:t>17. § (2a) bekezdése,</w:t>
      </w:r>
    </w:p>
    <w:p w14:paraId="396721F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b)</w:t>
      </w:r>
      <w:r w:rsidRPr="00B053EA">
        <w:rPr>
          <w:rFonts w:ascii="Calibri" w:hAnsi="Calibri" w:cs="Calibri"/>
          <w:sz w:val="22"/>
          <w:szCs w:val="22"/>
        </w:rPr>
        <w:tab/>
        <w:t>36. § (4) bekezdése,</w:t>
      </w:r>
    </w:p>
    <w:p w14:paraId="448E2D43" w14:textId="77777777" w:rsidR="007F00A8" w:rsidRPr="00B053EA" w:rsidRDefault="00074A1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i/>
          <w:iCs/>
          <w:sz w:val="22"/>
          <w:szCs w:val="22"/>
        </w:rPr>
        <w:t>c)</w:t>
      </w:r>
      <w:r w:rsidRPr="00B053EA">
        <w:rPr>
          <w:rFonts w:ascii="Calibri" w:hAnsi="Calibri" w:cs="Calibri"/>
          <w:sz w:val="22"/>
          <w:szCs w:val="22"/>
        </w:rPr>
        <w:tab/>
        <w:t>37. § (2) bekezdés nyitó szövegrészében az „– a kezelővel történt egyeztetést követően -” szövegrész,</w:t>
      </w:r>
    </w:p>
    <w:p w14:paraId="1D6B2FD8" w14:textId="77777777" w:rsidR="007F00A8" w:rsidRPr="00B053EA" w:rsidRDefault="00074A1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A">
        <w:rPr>
          <w:rFonts w:ascii="Calibri" w:hAnsi="Calibri" w:cs="Calibri"/>
          <w:b/>
          <w:bCs/>
          <w:sz w:val="22"/>
          <w:szCs w:val="22"/>
        </w:rPr>
        <w:t>17. §</w:t>
      </w:r>
    </w:p>
    <w:p w14:paraId="34173667" w14:textId="77777777" w:rsidR="007F00A8" w:rsidRDefault="00074A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A">
        <w:rPr>
          <w:rFonts w:ascii="Calibri" w:hAnsi="Calibri" w:cs="Calibri"/>
          <w:sz w:val="22"/>
          <w:szCs w:val="22"/>
        </w:rPr>
        <w:t>Ez a rendelet 2025. január 1-jén lép hatályba.</w:t>
      </w:r>
    </w:p>
    <w:p w14:paraId="5A001FB9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F7E0BE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35E49E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68D1385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158CB19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633035E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1EDC13" w14:textId="77777777" w:rsid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F2398B" w14:textId="77777777" w:rsidR="00B053EA" w:rsidRPr="00B053EA" w:rsidRDefault="00B053E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F00A8" w:rsidRPr="00B053EA" w14:paraId="3B6903B9" w14:textId="77777777">
        <w:tc>
          <w:tcPr>
            <w:tcW w:w="4818" w:type="dxa"/>
          </w:tcPr>
          <w:p w14:paraId="798EEB73" w14:textId="77777777" w:rsidR="007F00A8" w:rsidRPr="00B053EA" w:rsidRDefault="00074A1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AEB9967" w14:textId="77777777" w:rsidR="007F00A8" w:rsidRPr="00B053EA" w:rsidRDefault="00074A1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053E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C09B0F" w14:textId="77777777" w:rsidR="007F00A8" w:rsidRPr="00B053EA" w:rsidRDefault="007F00A8">
      <w:pPr>
        <w:rPr>
          <w:rFonts w:ascii="Calibri" w:hAnsi="Calibri" w:cs="Calibri"/>
          <w:b/>
          <w:bCs/>
          <w:sz w:val="22"/>
          <w:szCs w:val="22"/>
        </w:rPr>
      </w:pPr>
    </w:p>
    <w:sectPr w:rsidR="007F00A8" w:rsidRPr="00B053E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4486" w14:textId="77777777" w:rsidR="00074A19" w:rsidRDefault="00074A19">
      <w:r>
        <w:separator/>
      </w:r>
    </w:p>
  </w:endnote>
  <w:endnote w:type="continuationSeparator" w:id="0">
    <w:p w14:paraId="064B2E48" w14:textId="77777777" w:rsidR="00074A19" w:rsidRDefault="000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34BC" w14:textId="77777777" w:rsidR="007F00A8" w:rsidRDefault="00074A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4293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322B" w14:textId="77777777" w:rsidR="00074A19" w:rsidRDefault="00074A19">
      <w:r>
        <w:separator/>
      </w:r>
    </w:p>
  </w:footnote>
  <w:footnote w:type="continuationSeparator" w:id="0">
    <w:p w14:paraId="21E1B4B3" w14:textId="77777777" w:rsidR="00074A19" w:rsidRDefault="000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067"/>
    <w:multiLevelType w:val="multilevel"/>
    <w:tmpl w:val="FC86347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015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A8"/>
    <w:rsid w:val="00074A19"/>
    <w:rsid w:val="004710E6"/>
    <w:rsid w:val="00736E84"/>
    <w:rsid w:val="0074293A"/>
    <w:rsid w:val="007F00A8"/>
    <w:rsid w:val="008F4C3F"/>
    <w:rsid w:val="00A96617"/>
    <w:rsid w:val="00B053EA"/>
    <w:rsid w:val="00C93DD6"/>
    <w:rsid w:val="00E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DD53"/>
  <w15:docId w15:val="{C0AAFE5E-B20D-4797-96EC-BE91E28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11697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4</cp:revision>
  <dcterms:created xsi:type="dcterms:W3CDTF">2024-11-14T09:26:00Z</dcterms:created>
  <dcterms:modified xsi:type="dcterms:W3CDTF">2024-11-19T10:16:00Z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