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CA5A" w14:textId="77777777" w:rsidR="009B2296" w:rsidRPr="00110A36" w:rsidRDefault="009B2296" w:rsidP="00110A36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110A36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INDOKOLÁS</w:t>
      </w:r>
    </w:p>
    <w:p w14:paraId="02275D26" w14:textId="49F0E5E5" w:rsidR="00961A10" w:rsidRPr="00EA4883" w:rsidRDefault="00000014" w:rsidP="00961A10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Hlk129860171"/>
      <w:r w:rsidRPr="0000001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az épületek és a közterületek fellobogózásáról, ünnepi feldíszítéséről, valamint a koszorúzás rendjéről szóló 18/1991. (X.3.) önkormányzati rendelet módosításáról </w:t>
      </w:r>
      <w:bookmarkEnd w:id="0"/>
      <w:r w:rsidR="00961A10"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4A6BAD" w14:textId="52639443" w:rsidR="00000014" w:rsidRPr="00ED0D99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9814752"/>
      <w:bookmarkStart w:id="2" w:name="_Hlk82071862"/>
      <w:bookmarkStart w:id="3" w:name="_Hlk82071112"/>
      <w:r w:rsidRPr="00ED0D99">
        <w:rPr>
          <w:rFonts w:asciiTheme="minorHAnsi" w:hAnsiTheme="minorHAnsi" w:cstheme="minorHAnsi"/>
          <w:sz w:val="22"/>
          <w:szCs w:val="22"/>
        </w:rPr>
        <w:t xml:space="preserve">A Közgyűlés 1991-ben alkotta meg az épületek és a közterületek fellobogózásáról, ünnepi feldíszítéséről, valamint a koszorúzás rendjéről szóló 18/1991. (X.3.) önkormányzati rendeletét (a továbbiakban: Rendelet), amely szabályozza Szombathelyen a nemzeti vagy állami, valamint a városi ünnepnapokon a közterületek fellobogózására, ünnepi feldíszítésére, az ünnepi zászló felvonására és a koszorúzásra vonatkozó szabályokat. A Rendelet 4. § (2) bekezdése a négy kiemelt ünnepre – március 15., Hősök napja (május utolsó vasárnapja), augusztus 20., október 23. – vonatkozóan előírja, hogy az ünnepi zászlót a Március 15. téren lévő országzászló-árbocra </w:t>
      </w:r>
      <w:r w:rsidRPr="00000014">
        <w:rPr>
          <w:rFonts w:asciiTheme="minorHAnsi" w:hAnsiTheme="minorHAnsi" w:cstheme="minorHAnsi"/>
          <w:sz w:val="22"/>
          <w:szCs w:val="22"/>
        </w:rPr>
        <w:t>katonai tiszteletadás mellett</w:t>
      </w:r>
      <w:r w:rsidRPr="00ED0D99">
        <w:rPr>
          <w:rFonts w:asciiTheme="minorHAnsi" w:hAnsiTheme="minorHAnsi" w:cstheme="minorHAnsi"/>
          <w:sz w:val="22"/>
          <w:szCs w:val="22"/>
        </w:rPr>
        <w:t xml:space="preserve"> kell felvonni.</w:t>
      </w:r>
    </w:p>
    <w:p w14:paraId="7711AC47" w14:textId="77777777" w:rsidR="00000014" w:rsidRPr="00ED0D99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C5D046" w14:textId="7E62B754" w:rsidR="00000014" w:rsidRPr="00ED0D99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 xml:space="preserve">Szombathely városában a zászlófelvonáshoz a Magyar Honvédség a kért katonai közreműködést évtizedek óta folyamatosan biztosította,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D0D99">
        <w:rPr>
          <w:rFonts w:asciiTheme="minorHAnsi" w:hAnsiTheme="minorHAnsi" w:cstheme="minorHAnsi"/>
          <w:sz w:val="22"/>
          <w:szCs w:val="22"/>
        </w:rPr>
        <w:t>z elmúlt két évben azonban a katonai közreműködés</w:t>
      </w:r>
      <w:r>
        <w:rPr>
          <w:rFonts w:asciiTheme="minorHAnsi" w:hAnsiTheme="minorHAnsi" w:cstheme="minorHAnsi"/>
          <w:sz w:val="22"/>
          <w:szCs w:val="22"/>
        </w:rPr>
        <w:t xml:space="preserve"> biztosítására vonatkozó önkormányzati kérelmet</w:t>
      </w:r>
      <w:r w:rsidRPr="00ED0D99">
        <w:rPr>
          <w:rFonts w:asciiTheme="minorHAnsi" w:hAnsiTheme="minorHAnsi" w:cstheme="minorHAnsi"/>
          <w:sz w:val="22"/>
          <w:szCs w:val="22"/>
        </w:rPr>
        <w:t xml:space="preserve"> a Honvédelmi Minisztérium </w:t>
      </w:r>
      <w:r>
        <w:rPr>
          <w:rFonts w:asciiTheme="minorHAnsi" w:hAnsiTheme="minorHAnsi" w:cstheme="minorHAnsi"/>
          <w:sz w:val="22"/>
          <w:szCs w:val="22"/>
        </w:rPr>
        <w:t xml:space="preserve">sajnos </w:t>
      </w:r>
      <w:r w:rsidRPr="00ED0D99">
        <w:rPr>
          <w:rFonts w:asciiTheme="minorHAnsi" w:hAnsiTheme="minorHAnsi" w:cstheme="minorHAnsi"/>
          <w:sz w:val="22"/>
          <w:szCs w:val="22"/>
        </w:rPr>
        <w:t xml:space="preserve">egy alkalommal sem </w:t>
      </w:r>
      <w:r>
        <w:rPr>
          <w:rFonts w:asciiTheme="minorHAnsi" w:hAnsiTheme="minorHAnsi" w:cstheme="minorHAnsi"/>
          <w:sz w:val="22"/>
          <w:szCs w:val="22"/>
        </w:rPr>
        <w:t>teljesítette</w:t>
      </w:r>
      <w:r w:rsidRPr="00ED0D99">
        <w:rPr>
          <w:rFonts w:asciiTheme="minorHAnsi" w:hAnsiTheme="minorHAnsi" w:cstheme="minorHAnsi"/>
          <w:sz w:val="22"/>
          <w:szCs w:val="22"/>
        </w:rPr>
        <w:t>, ideértve a</w:t>
      </w:r>
      <w:r>
        <w:rPr>
          <w:rFonts w:asciiTheme="minorHAnsi" w:hAnsiTheme="minorHAnsi" w:cstheme="minorHAnsi"/>
          <w:sz w:val="22"/>
          <w:szCs w:val="22"/>
        </w:rPr>
        <w:t xml:space="preserve"> rendelet által előírt </w:t>
      </w:r>
      <w:r w:rsidRPr="00ED0D99">
        <w:rPr>
          <w:rFonts w:asciiTheme="minorHAnsi" w:hAnsiTheme="minorHAnsi" w:cstheme="minorHAnsi"/>
          <w:sz w:val="22"/>
          <w:szCs w:val="22"/>
        </w:rPr>
        <w:t>ünnepeke</w:t>
      </w:r>
      <w:r>
        <w:rPr>
          <w:rFonts w:asciiTheme="minorHAnsi" w:hAnsiTheme="minorHAnsi" w:cstheme="minorHAnsi"/>
          <w:sz w:val="22"/>
          <w:szCs w:val="22"/>
        </w:rPr>
        <w:t xml:space="preserve">n való közreműködéseket </w:t>
      </w:r>
      <w:r w:rsidRPr="00ED0D99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. Mindezek alapján megállapítható, hogy az </w:t>
      </w:r>
      <w:r w:rsidRPr="00ED0D99">
        <w:rPr>
          <w:rFonts w:asciiTheme="minorHAnsi" w:hAnsiTheme="minorHAnsi" w:cstheme="minorHAnsi"/>
          <w:sz w:val="22"/>
          <w:szCs w:val="22"/>
        </w:rPr>
        <w:t xml:space="preserve">Önkormányzat a </w:t>
      </w:r>
      <w:r>
        <w:rPr>
          <w:rFonts w:asciiTheme="minorHAnsi" w:hAnsiTheme="minorHAnsi" w:cstheme="minorHAnsi"/>
          <w:sz w:val="22"/>
          <w:szCs w:val="22"/>
        </w:rPr>
        <w:t xml:space="preserve">fenti </w:t>
      </w:r>
      <w:r w:rsidRPr="00ED0D99">
        <w:rPr>
          <w:rFonts w:asciiTheme="minorHAnsi" w:hAnsiTheme="minorHAnsi" w:cstheme="minorHAnsi"/>
          <w:sz w:val="22"/>
          <w:szCs w:val="22"/>
        </w:rPr>
        <w:t xml:space="preserve">rendeleti előírásnak – önhibáján kívül – nem tud eleget tenni, így szükségessé vált </w:t>
      </w:r>
      <w:r>
        <w:rPr>
          <w:rFonts w:asciiTheme="minorHAnsi" w:hAnsiTheme="minorHAnsi" w:cstheme="minorHAnsi"/>
          <w:sz w:val="22"/>
          <w:szCs w:val="22"/>
        </w:rPr>
        <w:t>a szabály</w:t>
      </w:r>
      <w:r w:rsidRPr="00ED0D99">
        <w:rPr>
          <w:rFonts w:asciiTheme="minorHAnsi" w:hAnsiTheme="minorHAnsi" w:cstheme="minorHAnsi"/>
          <w:sz w:val="22"/>
          <w:szCs w:val="22"/>
        </w:rPr>
        <w:t xml:space="preserve"> kiegészítése, hogy </w:t>
      </w:r>
      <w:r w:rsidRPr="00000014">
        <w:rPr>
          <w:rFonts w:asciiTheme="minorHAnsi" w:hAnsiTheme="minorHAnsi" w:cstheme="minorHAnsi"/>
          <w:sz w:val="22"/>
          <w:szCs w:val="22"/>
        </w:rPr>
        <w:t>lehetőség szerint katonai tiszteletadás mellett</w:t>
      </w:r>
      <w:r w:rsidRPr="00ED0D99">
        <w:rPr>
          <w:rFonts w:asciiTheme="minorHAnsi" w:hAnsiTheme="minorHAnsi" w:cstheme="minorHAnsi"/>
          <w:sz w:val="22"/>
          <w:szCs w:val="22"/>
        </w:rPr>
        <w:t xml:space="preserve"> történjen az ünnepi zászló felvonása.</w:t>
      </w:r>
    </w:p>
    <w:p w14:paraId="44D3EFE3" w14:textId="77777777" w:rsidR="00000014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A6A4DE" w14:textId="63F8C150" w:rsidR="00000014" w:rsidRPr="00ED0D99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  <w:r w:rsidRPr="00ED0D99">
        <w:rPr>
          <w:rFonts w:asciiTheme="minorHAnsi" w:hAnsiTheme="minorHAnsi" w:cstheme="minorHAnsi"/>
          <w:sz w:val="22"/>
          <w:szCs w:val="22"/>
        </w:rPr>
        <w:t>Tekintettel arra, hogy a Rendelet még a korábbi jogalkotási és jogszabályszerkesztési szabályok szerint készült, a fenti előírás módosítása mellett szükségessé vált néhány jogalkotási és jogszabályszerkesztési módosítás (a bevezető rendelkezés, felsorolásra vonatkozó szerkesztési szabályok) is.</w:t>
      </w:r>
    </w:p>
    <w:p w14:paraId="400376D8" w14:textId="77777777" w:rsidR="00000014" w:rsidRDefault="00000014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bookmarkEnd w:id="3"/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EFE937" w14:textId="733B7B86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7106487" w14:textId="437C2D43" w:rsidR="00000014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00014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endelet </w:t>
      </w:r>
      <w:r w:rsidR="00000014">
        <w:rPr>
          <w:rFonts w:asciiTheme="minorHAnsi" w:hAnsiTheme="minorHAnsi" w:cstheme="minorHAnsi"/>
          <w:sz w:val="22"/>
          <w:szCs w:val="22"/>
        </w:rPr>
        <w:t>bevezető részében szükséges a felhatalmazást adó jogszabály, valamint az eredeti jogalkotói hatáskör megjelölése.</w:t>
      </w:r>
    </w:p>
    <w:p w14:paraId="39B243FD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C94154" w14:textId="77777777" w:rsidR="00000014" w:rsidRPr="009B2296" w:rsidRDefault="00000014" w:rsidP="00000014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0999E88" w14:textId="77777777" w:rsidR="009C7058" w:rsidRDefault="009C7058" w:rsidP="009C70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2. §-ában a pontok ún. francia bekezdésekkel kerültek megjelölése, így szükséges a pontoknak </w:t>
      </w:r>
      <w:r w:rsidRPr="00000014">
        <w:rPr>
          <w:rFonts w:asciiTheme="minorHAnsi" w:hAnsiTheme="minorHAnsi" w:cstheme="minorHAnsi"/>
          <w:sz w:val="22"/>
          <w:szCs w:val="22"/>
        </w:rPr>
        <w:t>a jogszabályszerkesztésről</w:t>
      </w:r>
      <w:r>
        <w:rPr>
          <w:rFonts w:asciiTheme="minorHAnsi" w:hAnsiTheme="minorHAnsi" w:cstheme="minorHAnsi"/>
          <w:sz w:val="22"/>
          <w:szCs w:val="22"/>
        </w:rPr>
        <w:t xml:space="preserve"> szóló </w:t>
      </w:r>
      <w:r w:rsidRPr="00000014">
        <w:rPr>
          <w:rFonts w:asciiTheme="minorHAnsi" w:hAnsiTheme="minorHAnsi" w:cstheme="minorHAnsi"/>
          <w:sz w:val="22"/>
          <w:szCs w:val="22"/>
        </w:rPr>
        <w:t xml:space="preserve">61/2009. (XII.14.) IRM rendelet </w:t>
      </w:r>
      <w:r>
        <w:rPr>
          <w:rFonts w:asciiTheme="minorHAnsi" w:hAnsiTheme="minorHAnsi" w:cstheme="minorHAnsi"/>
          <w:sz w:val="22"/>
          <w:szCs w:val="22"/>
        </w:rPr>
        <w:t>(Jszr.) szerinti, betűkkel és „)” jellel történő megjelölése.</w:t>
      </w:r>
    </w:p>
    <w:p w14:paraId="0799A3F6" w14:textId="77777777" w:rsidR="00000014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3F042" w14:textId="77777777" w:rsidR="00000014" w:rsidRPr="009B2296" w:rsidRDefault="00000014" w:rsidP="00000014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2DA48D78" w14:textId="4B9877FA" w:rsidR="00000014" w:rsidRDefault="009C7058" w:rsidP="000000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4. §-át megelőző alcím címében az állam hivatalos megnevezésének módosítása szükséges.</w:t>
      </w:r>
    </w:p>
    <w:p w14:paraId="2A367481" w14:textId="77777777" w:rsidR="009C7058" w:rsidRDefault="009C7058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3F82F" w14:textId="2AFC6EC5" w:rsidR="00000014" w:rsidRPr="009B2296" w:rsidRDefault="00000014" w:rsidP="00000014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141EB37" w14:textId="77777777" w:rsidR="009C7058" w:rsidRDefault="009C7058" w:rsidP="009C70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8. § (1) bekezdésében az alpontok ún. francia bekezdésekkel kerültek megjelölése, így szükséges az alpontoknak a Jszr. szerinti megjelölése.</w:t>
      </w:r>
    </w:p>
    <w:p w14:paraId="0A8E73CD" w14:textId="77777777" w:rsidR="00000014" w:rsidRDefault="00000014" w:rsidP="000000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D2BFC" w14:textId="1F1AE6C5" w:rsidR="00000014" w:rsidRPr="009B2296" w:rsidRDefault="00000014" w:rsidP="00000014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6A813F0" w14:textId="77777777" w:rsidR="009C7058" w:rsidRDefault="009C7058" w:rsidP="009C70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katonai tiszteletadásra vonatkozó előírás kiegészítése szükséges azzal, hogy ünnepélyes keretek között és lehetőség szerint katonai tiszteletadás mellett történjen a zászlófelvonás.</w:t>
      </w:r>
    </w:p>
    <w:p w14:paraId="1F9EAB82" w14:textId="611E7078" w:rsidR="009C7058" w:rsidRDefault="009C7058" w:rsidP="009C70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Továbbá a Rendelet még a „megyei” kifejezést használja, így szükségessé vált a 2023. január 1. napja óta hatályos „vármegyei” kifejezésre történő áttérés.</w:t>
      </w:r>
    </w:p>
    <w:p w14:paraId="447C491B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6F0D615B" w14:textId="25B2A059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47C9BBC" w14:textId="73420756" w:rsidR="00A4230E" w:rsidRPr="00A4230E" w:rsidRDefault="004515C5" w:rsidP="00A4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4230E">
        <w:rPr>
          <w:rFonts w:asciiTheme="minorHAnsi" w:hAnsiTheme="minorHAnsi" w:cstheme="minorHAnsi"/>
          <w:sz w:val="22"/>
          <w:szCs w:val="22"/>
        </w:rPr>
        <w:t xml:space="preserve">hatályba lépését tartalmazza, amely a kihirdetést követő nap, összhangban a </w:t>
      </w:r>
      <w:r w:rsidR="009C7058" w:rsidRPr="007E0526">
        <w:rPr>
          <w:rFonts w:asciiTheme="minorHAnsi" w:hAnsiTheme="minorHAnsi" w:cstheme="minorHAnsi"/>
          <w:sz w:val="22"/>
          <w:szCs w:val="22"/>
        </w:rPr>
        <w:t xml:space="preserve">jogalkotásról </w:t>
      </w:r>
      <w:r w:rsidR="009C7058">
        <w:rPr>
          <w:rFonts w:asciiTheme="minorHAnsi" w:hAnsiTheme="minorHAnsi" w:cstheme="minorHAnsi"/>
          <w:sz w:val="22"/>
          <w:szCs w:val="22"/>
        </w:rPr>
        <w:t xml:space="preserve">szóló </w:t>
      </w:r>
      <w:r w:rsidR="009C7058" w:rsidRPr="007E0526">
        <w:rPr>
          <w:rFonts w:asciiTheme="minorHAnsi" w:hAnsiTheme="minorHAnsi" w:cstheme="minorHAnsi"/>
          <w:sz w:val="22"/>
          <w:szCs w:val="22"/>
        </w:rPr>
        <w:t>2010. évi CXXX. törvény</w:t>
      </w:r>
      <w:r w:rsidR="00A4230E">
        <w:rPr>
          <w:rFonts w:asciiTheme="minorHAnsi" w:hAnsiTheme="minorHAnsi" w:cstheme="minorHAnsi"/>
          <w:sz w:val="22"/>
          <w:szCs w:val="22"/>
        </w:rPr>
        <w:t xml:space="preserve"> 2. § (3) bekezdésével, mert nem szükséges hosszabb </w:t>
      </w:r>
      <w:r w:rsidR="00A4230E" w:rsidRPr="00A4230E">
        <w:rPr>
          <w:rFonts w:asciiTheme="minorHAnsi" w:hAnsiTheme="minorHAnsi" w:cstheme="minorHAnsi"/>
          <w:sz w:val="22"/>
          <w:szCs w:val="22"/>
        </w:rPr>
        <w:t>idő a jogszabály alkalmazására való felkészülésre.</w:t>
      </w:r>
    </w:p>
    <w:p w14:paraId="6F5CC403" w14:textId="1B6F7642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sectPr w:rsidR="004515C5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D5AC4"/>
    <w:multiLevelType w:val="hybridMultilevel"/>
    <w:tmpl w:val="B198A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85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96"/>
    <w:rsid w:val="00000014"/>
    <w:rsid w:val="0005181E"/>
    <w:rsid w:val="00062D34"/>
    <w:rsid w:val="000A1F47"/>
    <w:rsid w:val="00110A36"/>
    <w:rsid w:val="001306BB"/>
    <w:rsid w:val="00226FDC"/>
    <w:rsid w:val="00332B82"/>
    <w:rsid w:val="003E7D86"/>
    <w:rsid w:val="004515C5"/>
    <w:rsid w:val="004E3EE0"/>
    <w:rsid w:val="00502EEA"/>
    <w:rsid w:val="005A79F9"/>
    <w:rsid w:val="005D12E4"/>
    <w:rsid w:val="005E210B"/>
    <w:rsid w:val="005E4C91"/>
    <w:rsid w:val="006349C3"/>
    <w:rsid w:val="00680674"/>
    <w:rsid w:val="006C0651"/>
    <w:rsid w:val="006C0AC3"/>
    <w:rsid w:val="0070702D"/>
    <w:rsid w:val="0071796D"/>
    <w:rsid w:val="007A0593"/>
    <w:rsid w:val="008A2E8C"/>
    <w:rsid w:val="0090273C"/>
    <w:rsid w:val="00961A10"/>
    <w:rsid w:val="009A79A7"/>
    <w:rsid w:val="009B2296"/>
    <w:rsid w:val="009C7058"/>
    <w:rsid w:val="00A4230E"/>
    <w:rsid w:val="00A6061F"/>
    <w:rsid w:val="00A65DB1"/>
    <w:rsid w:val="00AE4371"/>
    <w:rsid w:val="00B1674C"/>
    <w:rsid w:val="00B42F43"/>
    <w:rsid w:val="00C032CD"/>
    <w:rsid w:val="00D349CE"/>
    <w:rsid w:val="00D45993"/>
    <w:rsid w:val="00D6688B"/>
    <w:rsid w:val="00DA1513"/>
    <w:rsid w:val="00E26CE5"/>
    <w:rsid w:val="00E46A00"/>
    <w:rsid w:val="00E73184"/>
    <w:rsid w:val="00F16C7C"/>
    <w:rsid w:val="00F310DC"/>
    <w:rsid w:val="00F619A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0101C-E1A8-4B7C-B3FE-BED425C21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04CB3-B74C-4BC2-9EF6-8362426C7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07AFB-C2AB-4527-B99D-B8F59476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Horváth Ildikó dr.</cp:lastModifiedBy>
  <cp:revision>2</cp:revision>
  <dcterms:created xsi:type="dcterms:W3CDTF">2024-09-23T07:30:00Z</dcterms:created>
  <dcterms:modified xsi:type="dcterms:W3CDTF">2024-09-23T07:30:00Z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