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B6D2A" w14:textId="77777777" w:rsidR="00860F90" w:rsidRPr="00F14DC1" w:rsidRDefault="0029723A" w:rsidP="00232F3E">
      <w:pPr>
        <w:pStyle w:val="Cmsor1"/>
        <w:jc w:val="center"/>
        <w:rPr>
          <w:rFonts w:ascii="Calibri" w:hAnsi="Calibri" w:cs="Calibri"/>
          <w:color w:val="auto"/>
          <w:szCs w:val="24"/>
        </w:rPr>
      </w:pPr>
      <w:r w:rsidRPr="00F14DC1">
        <w:rPr>
          <w:rFonts w:ascii="Calibri" w:hAnsi="Calibri" w:cs="Calibri"/>
          <w:color w:val="auto"/>
          <w:szCs w:val="24"/>
        </w:rPr>
        <w:t xml:space="preserve"> </w:t>
      </w:r>
      <w:r w:rsidR="00232F3E" w:rsidRPr="00F14DC1">
        <w:rPr>
          <w:rFonts w:ascii="Calibri" w:hAnsi="Calibri" w:cs="Calibri"/>
          <w:color w:val="auto"/>
          <w:szCs w:val="24"/>
        </w:rPr>
        <w:t>INDOKOLÁS</w:t>
      </w:r>
    </w:p>
    <w:p w14:paraId="4107CF7B" w14:textId="378E2343" w:rsidR="00500B0C" w:rsidRPr="00F14DC1" w:rsidRDefault="00500B0C" w:rsidP="00500B0C">
      <w:pPr>
        <w:jc w:val="center"/>
        <w:rPr>
          <w:rFonts w:ascii="Calibri" w:hAnsi="Calibri" w:cs="Calibri"/>
          <w:b/>
          <w:sz w:val="24"/>
          <w:szCs w:val="24"/>
        </w:rPr>
      </w:pPr>
      <w:r w:rsidRPr="00F14DC1">
        <w:rPr>
          <w:rFonts w:ascii="Calibri" w:hAnsi="Calibri" w:cs="Calibri"/>
          <w:b/>
          <w:sz w:val="24"/>
          <w:szCs w:val="24"/>
        </w:rPr>
        <w:t>a 202</w:t>
      </w:r>
      <w:r w:rsidR="00FC4CAB">
        <w:rPr>
          <w:rFonts w:ascii="Calibri" w:hAnsi="Calibri" w:cs="Calibri"/>
          <w:b/>
          <w:sz w:val="24"/>
          <w:szCs w:val="24"/>
        </w:rPr>
        <w:t>4</w:t>
      </w:r>
      <w:r w:rsidRPr="00F14DC1">
        <w:rPr>
          <w:rFonts w:ascii="Calibri" w:hAnsi="Calibri" w:cs="Calibri"/>
          <w:b/>
          <w:sz w:val="24"/>
          <w:szCs w:val="24"/>
        </w:rPr>
        <w:t>. évi költségvetési rendelet I. számú módosításhoz</w:t>
      </w:r>
    </w:p>
    <w:p w14:paraId="5DBB1A01" w14:textId="77777777" w:rsidR="00500B0C" w:rsidRPr="00F14DC1" w:rsidRDefault="00500B0C" w:rsidP="00500B0C">
      <w:pPr>
        <w:rPr>
          <w:rFonts w:ascii="Calibri" w:hAnsi="Calibri" w:cs="Calibri"/>
          <w:sz w:val="22"/>
          <w:szCs w:val="22"/>
        </w:rPr>
      </w:pPr>
    </w:p>
    <w:p w14:paraId="6DE19305" w14:textId="2E21D739" w:rsidR="00500B0C" w:rsidRPr="00F14DC1" w:rsidRDefault="00500B0C" w:rsidP="00500B0C">
      <w:pPr>
        <w:jc w:val="both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I. A 202</w:t>
      </w:r>
      <w:r w:rsidR="00FC4CAB">
        <w:rPr>
          <w:rFonts w:ascii="Calibri" w:hAnsi="Calibri" w:cs="Calibri"/>
          <w:b/>
          <w:sz w:val="22"/>
          <w:szCs w:val="22"/>
        </w:rPr>
        <w:t>3</w:t>
      </w:r>
      <w:r w:rsidRPr="00F14DC1">
        <w:rPr>
          <w:rFonts w:ascii="Calibri" w:hAnsi="Calibri" w:cs="Calibri"/>
          <w:b/>
          <w:sz w:val="22"/>
          <w:szCs w:val="22"/>
        </w:rPr>
        <w:t>. évi költségvetési maradvány elszámolása</w:t>
      </w:r>
    </w:p>
    <w:p w14:paraId="01D20DEC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726CC7CF" w14:textId="6374050F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>Az előterjesztett rendeletmódosításban Szombathely Megyei Jogú Város Önkormányzata 202</w:t>
      </w:r>
      <w:r w:rsidR="00BE3C78">
        <w:rPr>
          <w:rFonts w:ascii="Calibri" w:hAnsi="Calibri" w:cs="Calibri"/>
          <w:sz w:val="22"/>
          <w:szCs w:val="22"/>
        </w:rPr>
        <w:t>3</w:t>
      </w:r>
      <w:r w:rsidRPr="00F14DC1">
        <w:rPr>
          <w:rFonts w:ascii="Calibri" w:hAnsi="Calibri" w:cs="Calibri"/>
          <w:sz w:val="22"/>
          <w:szCs w:val="22"/>
        </w:rPr>
        <w:t>. évi maradványának jóváhagyása alapján végrehajtott költségvetési előirányzat módosítások kerültek átvezetésre, a maradvány jóváhagyásáró</w:t>
      </w:r>
      <w:r w:rsidR="00807ABA" w:rsidRPr="00F14DC1">
        <w:rPr>
          <w:rFonts w:ascii="Calibri" w:hAnsi="Calibri" w:cs="Calibri"/>
          <w:sz w:val="22"/>
          <w:szCs w:val="22"/>
        </w:rPr>
        <w:t>l szóló közgyűlési határozatban foglaltakkal egyezően.</w:t>
      </w:r>
      <w:r w:rsidRPr="00F14DC1">
        <w:rPr>
          <w:rFonts w:ascii="Calibri" w:hAnsi="Calibri" w:cs="Calibri"/>
          <w:sz w:val="22"/>
          <w:szCs w:val="22"/>
        </w:rPr>
        <w:t xml:space="preserve"> </w:t>
      </w:r>
    </w:p>
    <w:p w14:paraId="523A4F6E" w14:textId="77777777" w:rsidR="005576F2" w:rsidRPr="00F14DC1" w:rsidRDefault="005576F2" w:rsidP="00500B0C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220609DA" w14:textId="6BA65F99" w:rsidR="005576F2" w:rsidRPr="00F14DC1" w:rsidRDefault="005576F2" w:rsidP="005576F2">
      <w:p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I.A 20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2</w:t>
      </w:r>
      <w:r w:rsidR="00FC4CAB">
        <w:rPr>
          <w:rFonts w:ascii="Calibri" w:hAnsi="Calibri" w:cs="Calibri"/>
          <w:b/>
          <w:i/>
          <w:sz w:val="22"/>
          <w:szCs w:val="22"/>
          <w:u w:val="single"/>
        </w:rPr>
        <w:t>3</w:t>
      </w:r>
      <w:r w:rsidR="00BF5DCF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.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évi maradvány elszámolás egyenlege:   </w:t>
      </w:r>
      <w:r w:rsidR="00522E2F">
        <w:rPr>
          <w:rFonts w:ascii="Calibri" w:hAnsi="Calibri" w:cs="Calibri"/>
          <w:b/>
          <w:i/>
          <w:sz w:val="22"/>
          <w:szCs w:val="22"/>
          <w:u w:val="single"/>
        </w:rPr>
        <w:t>+7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>13</w:t>
      </w:r>
      <w:r w:rsidR="00522E2F">
        <w:rPr>
          <w:rFonts w:ascii="Calibri" w:hAnsi="Calibri" w:cs="Calibri"/>
          <w:b/>
          <w:i/>
          <w:sz w:val="22"/>
          <w:szCs w:val="22"/>
          <w:u w:val="single"/>
        </w:rPr>
        <w:t>.</w:t>
      </w:r>
      <w:r w:rsidR="00480AD0">
        <w:rPr>
          <w:rFonts w:ascii="Calibri" w:hAnsi="Calibri" w:cs="Calibri"/>
          <w:b/>
          <w:i/>
          <w:sz w:val="22"/>
          <w:szCs w:val="22"/>
          <w:u w:val="single"/>
        </w:rPr>
        <w:t xml:space="preserve">609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CB4B055" w14:textId="77777777" w:rsidR="005576F2" w:rsidRPr="00F14DC1" w:rsidRDefault="005576F2" w:rsidP="00500B0C">
      <w:pPr>
        <w:rPr>
          <w:rFonts w:ascii="Calibri" w:hAnsi="Calibri" w:cs="Calibri"/>
          <w:sz w:val="22"/>
          <w:szCs w:val="22"/>
          <w:u w:val="single"/>
        </w:rPr>
      </w:pPr>
    </w:p>
    <w:p w14:paraId="1ADD994E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F14DC1">
        <w:rPr>
          <w:rFonts w:ascii="Calibri" w:hAnsi="Calibri" w:cs="Calibri"/>
          <w:b/>
          <w:bCs/>
          <w:sz w:val="22"/>
          <w:szCs w:val="22"/>
        </w:rPr>
        <w:t>II. A költségvetési rendeletben meghatározottak szerint utólagos tudomásul vételt jelentő tételek</w:t>
      </w:r>
    </w:p>
    <w:p w14:paraId="424EF271" w14:textId="77777777" w:rsidR="00500B0C" w:rsidRPr="00F14DC1" w:rsidRDefault="00500B0C" w:rsidP="00500B0C">
      <w:pPr>
        <w:tabs>
          <w:tab w:val="num" w:pos="2760"/>
        </w:tabs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B7C03A" w14:textId="77777777" w:rsidR="00500B0C" w:rsidRDefault="00500B0C" w:rsidP="00AE7DB8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Működési és felhalmozási célú támogatások előirányzatainak módosítása</w:t>
      </w:r>
    </w:p>
    <w:p w14:paraId="57819E25" w14:textId="77777777" w:rsidR="00E86E38" w:rsidRPr="00E86E38" w:rsidRDefault="00E86E38" w:rsidP="00E86E38">
      <w:pPr>
        <w:ind w:left="786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14:paraId="229CD686" w14:textId="64B40474" w:rsidR="00500B0C" w:rsidRPr="00B27FEE" w:rsidRDefault="00500B0C" w:rsidP="00B27FEE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1933AF">
        <w:rPr>
          <w:rFonts w:ascii="Calibri" w:hAnsi="Calibri" w:cs="Calibri"/>
          <w:sz w:val="22"/>
          <w:szCs w:val="22"/>
        </w:rPr>
        <w:t>A 257/2000. (XII. 26.) Korm. rend. alapján a szociális, gyermekjóléti és gyermekvédelmi ágazati pótlékra jogosult közalkalmazottakat szociális ágazati összevont pótlék illeti meg. Központi bevételként beemelésre került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 w:rsidR="00B27FEE">
        <w:rPr>
          <w:rFonts w:ascii="Calibri" w:hAnsi="Calibri" w:cs="Calibri"/>
          <w:sz w:val="22"/>
          <w:szCs w:val="22"/>
        </w:rPr>
        <w:t>98.428</w:t>
      </w:r>
      <w:r w:rsidRPr="00B62487">
        <w:rPr>
          <w:rFonts w:ascii="Calibri" w:hAnsi="Calibri" w:cs="Calibri"/>
          <w:sz w:val="22"/>
          <w:szCs w:val="22"/>
        </w:rPr>
        <w:t xml:space="preserve"> eFt összegű</w:t>
      </w:r>
      <w:r w:rsidRPr="001933AF">
        <w:rPr>
          <w:rFonts w:ascii="Calibri" w:hAnsi="Calibri" w:cs="Calibri"/>
          <w:sz w:val="22"/>
          <w:szCs w:val="22"/>
        </w:rPr>
        <w:t xml:space="preserve"> támogatás, mellyel egyidejűleg a pótlékra jogosultakat foglalkoztató intézmények (Pálos K. Szociális Szolgáltató</w:t>
      </w:r>
      <w:r w:rsidR="00B27FEE">
        <w:rPr>
          <w:rFonts w:ascii="Calibri" w:hAnsi="Calibri" w:cs="Calibri"/>
          <w:sz w:val="22"/>
          <w:szCs w:val="22"/>
        </w:rPr>
        <w:t xml:space="preserve"> Központ és Gyermekjóléti Szolgálat </w:t>
      </w:r>
      <w:r w:rsidR="00B27FEE" w:rsidRPr="00B27FEE">
        <w:rPr>
          <w:rFonts w:ascii="Calibri" w:hAnsi="Calibri" w:cs="Calibri"/>
          <w:sz w:val="22"/>
          <w:szCs w:val="22"/>
        </w:rPr>
        <w:t>84.382 eFt</w:t>
      </w:r>
      <w:r w:rsidRPr="00B27FEE">
        <w:rPr>
          <w:rFonts w:ascii="Calibri" w:hAnsi="Calibri" w:cs="Calibri"/>
          <w:sz w:val="22"/>
          <w:szCs w:val="22"/>
        </w:rPr>
        <w:t>, valamint az Egyesített Bölcsődei Intézmény</w:t>
      </w:r>
      <w:r w:rsidR="00B27FEE" w:rsidRPr="00B27FEE">
        <w:rPr>
          <w:rFonts w:ascii="Calibri" w:hAnsi="Calibri" w:cs="Calibri"/>
          <w:sz w:val="22"/>
          <w:szCs w:val="22"/>
        </w:rPr>
        <w:t xml:space="preserve"> 14.046 eFt</w:t>
      </w:r>
      <w:r w:rsidRPr="00B27FEE">
        <w:rPr>
          <w:rFonts w:ascii="Calibri" w:hAnsi="Calibri" w:cs="Calibri"/>
          <w:sz w:val="22"/>
          <w:szCs w:val="22"/>
        </w:rPr>
        <w:t xml:space="preserve">) költségvetési kiadási előirányzatai kerültek megemelésre. </w:t>
      </w:r>
    </w:p>
    <w:p w14:paraId="75DE876D" w14:textId="77777777" w:rsidR="003622DB" w:rsidRPr="00F14DC1" w:rsidRDefault="003622DB" w:rsidP="003622DB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4FE5C00" w14:textId="605A0DE0" w:rsidR="00306622" w:rsidRDefault="00306622" w:rsidP="00306622">
      <w:pPr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306622">
        <w:rPr>
          <w:rFonts w:ascii="Calibri" w:hAnsi="Calibri" w:cs="Calibri"/>
          <w:sz w:val="22"/>
          <w:szCs w:val="22"/>
        </w:rPr>
        <w:t xml:space="preserve">A veszélyhelyzet ideje alatt a szomszédos országban fennálló humanitárius katasztrófára tekintettel érkező személyek elhelyezésének támogatásáról és az azzal kapcsolatos egyéb intézkedésekről szóló 104/2022. (II.12.) Korm.rend.alapján Önkormányzatunk a rendeletben meghatározott támogatás </w:t>
      </w:r>
      <w:r w:rsidRPr="00306622">
        <w:rPr>
          <w:rFonts w:ascii="Calibri" w:hAnsi="Calibri" w:cs="Calibri"/>
          <w:sz w:val="22"/>
          <w:szCs w:val="22"/>
        </w:rPr>
        <w:lastRenderedPageBreak/>
        <w:t>igénylés feltételeinek megfelelően a helyi védelmi bizottság részére az igény bejelentést megküldi. Az önkormányzat az ideiglenes védelemre jogosult vagy a menedékes szállása és ellátása után naponta elszállásolta</w:t>
      </w:r>
      <w:r w:rsidR="000638B7">
        <w:rPr>
          <w:rFonts w:ascii="Calibri" w:hAnsi="Calibri" w:cs="Calibri"/>
          <w:sz w:val="22"/>
          <w:szCs w:val="22"/>
        </w:rPr>
        <w:t>nként és ellátottanként</w:t>
      </w:r>
      <w:r w:rsidRPr="00306622">
        <w:rPr>
          <w:rFonts w:ascii="Calibri" w:hAnsi="Calibri" w:cs="Calibri"/>
          <w:sz w:val="22"/>
          <w:szCs w:val="22"/>
        </w:rPr>
        <w:t xml:space="preserve"> 2022. november 1. napját követőe</w:t>
      </w:r>
      <w:r w:rsidR="000638B7">
        <w:rPr>
          <w:rFonts w:ascii="Calibri" w:hAnsi="Calibri" w:cs="Calibri"/>
          <w:sz w:val="22"/>
          <w:szCs w:val="22"/>
        </w:rPr>
        <w:t xml:space="preserve">n </w:t>
      </w:r>
      <w:r w:rsidRPr="00306622">
        <w:rPr>
          <w:rFonts w:ascii="Calibri" w:hAnsi="Calibri" w:cs="Calibri"/>
          <w:sz w:val="22"/>
          <w:szCs w:val="22"/>
        </w:rPr>
        <w:t>7.000 Ft fajlagos tám</w:t>
      </w:r>
      <w:r>
        <w:rPr>
          <w:rFonts w:ascii="Calibri" w:hAnsi="Calibri" w:cs="Calibri"/>
          <w:sz w:val="22"/>
          <w:szCs w:val="22"/>
        </w:rPr>
        <w:t>ogatásra jogosult. Ez</w:t>
      </w:r>
      <w:r w:rsidR="00FC4CA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idáig</w:t>
      </w:r>
      <w:r w:rsidRPr="00306622">
        <w:rPr>
          <w:rFonts w:ascii="Calibri" w:hAnsi="Calibri" w:cs="Calibri"/>
          <w:sz w:val="22"/>
          <w:szCs w:val="22"/>
        </w:rPr>
        <w:t xml:space="preserve"> </w:t>
      </w:r>
      <w:r w:rsidR="000E73FF">
        <w:rPr>
          <w:rFonts w:ascii="Calibri" w:hAnsi="Calibri" w:cs="Calibri"/>
          <w:sz w:val="22"/>
          <w:szCs w:val="22"/>
        </w:rPr>
        <w:t xml:space="preserve">6.260 </w:t>
      </w:r>
      <w:r w:rsidRPr="00306622">
        <w:rPr>
          <w:rFonts w:ascii="Calibri" w:hAnsi="Calibri" w:cs="Calibri"/>
          <w:sz w:val="22"/>
          <w:szCs w:val="22"/>
        </w:rPr>
        <w:t>eFt</w:t>
      </w:r>
      <w:r>
        <w:rPr>
          <w:rFonts w:ascii="Calibri" w:hAnsi="Calibri" w:cs="Calibri"/>
          <w:sz w:val="22"/>
          <w:szCs w:val="22"/>
        </w:rPr>
        <w:t xml:space="preserve"> összegű támogatásban</w:t>
      </w:r>
      <w:r w:rsidRPr="00306622">
        <w:rPr>
          <w:rFonts w:ascii="Calibri" w:hAnsi="Calibri" w:cs="Calibri"/>
          <w:sz w:val="22"/>
          <w:szCs w:val="22"/>
        </w:rPr>
        <w:t xml:space="preserve"> részesültünk. Ez alapján mind a bevételi mind pedig a kiadási előirányzat (szociális ágazat kiadásai) beemelése megtörtént a költségvetési rendeletbe. Ezen összegből az elhelyezést és ellátást biztosító intézmények, szervezetek kerülnek támogatásra. Ebből az összegből a Pálos Károly Szociális Szolgáltató Központ és Gyermekjóléti Szolgálat intézmény </w:t>
      </w:r>
      <w:r w:rsidRPr="00B62487">
        <w:rPr>
          <w:rFonts w:ascii="Calibri" w:hAnsi="Calibri" w:cs="Calibri"/>
          <w:sz w:val="22"/>
          <w:szCs w:val="22"/>
        </w:rPr>
        <w:t xml:space="preserve">részére </w:t>
      </w:r>
      <w:r w:rsidR="000E73FF">
        <w:rPr>
          <w:rFonts w:ascii="Calibri" w:hAnsi="Calibri" w:cs="Calibri"/>
          <w:sz w:val="22"/>
          <w:szCs w:val="22"/>
        </w:rPr>
        <w:t>643</w:t>
      </w:r>
      <w:r w:rsidRPr="00306622">
        <w:rPr>
          <w:rFonts w:ascii="Calibri" w:hAnsi="Calibri" w:cs="Calibri"/>
          <w:sz w:val="22"/>
          <w:szCs w:val="22"/>
        </w:rPr>
        <w:t xml:space="preserve"> eFt összeg került támogatásként biztosításra.</w:t>
      </w:r>
    </w:p>
    <w:p w14:paraId="5F2FFB0A" w14:textId="77777777" w:rsidR="000E6FCC" w:rsidRDefault="000E6FCC" w:rsidP="000E6FCC">
      <w:pPr>
        <w:pStyle w:val="Listaszerbekezds"/>
        <w:rPr>
          <w:rFonts w:ascii="Calibri" w:hAnsi="Calibri" w:cs="Calibri"/>
          <w:sz w:val="22"/>
          <w:szCs w:val="22"/>
        </w:rPr>
      </w:pPr>
    </w:p>
    <w:p w14:paraId="3816E9C2" w14:textId="382DCDAC" w:rsidR="00F36C7B" w:rsidRDefault="00F36C7B" w:rsidP="00CE1575">
      <w:pPr>
        <w:pStyle w:val="Listaszerbekezds"/>
        <w:numPr>
          <w:ilvl w:val="0"/>
          <w:numId w:val="2"/>
        </w:numPr>
        <w:ind w:left="708"/>
        <w:jc w:val="both"/>
        <w:rPr>
          <w:rFonts w:ascii="Calibri" w:hAnsi="Calibri" w:cs="Calibri"/>
          <w:sz w:val="22"/>
          <w:szCs w:val="22"/>
        </w:rPr>
      </w:pPr>
      <w:r w:rsidRPr="0025679E">
        <w:rPr>
          <w:rFonts w:ascii="Calibri" w:hAnsi="Calibri" w:cs="Calibri"/>
          <w:sz w:val="22"/>
          <w:szCs w:val="22"/>
        </w:rPr>
        <w:t>A Kvtv. 3. melléklet 2.3.3. Települési önkormányzatok kulturális feladatainak bérjellegű támogatása jogcím esetében a kulturális és innovációs miniszter döntött a kulturális területet érintő minimálbér és garantált bérminimum emelés 2024. évi kiegészítő támogatásáról. A 2024. március havi nettó finanszírozás már tartalmazza a 2024. évet érintő kulturális béremelés időarányos részét. A támogatás folyósítása 2024. március hónapban így 28%-al jelent meg a központi finanszírozásunkban (hiszen a támogatás 2024. január 1-től járt</w:t>
      </w:r>
      <w:r w:rsidR="00553007">
        <w:rPr>
          <w:rFonts w:ascii="Calibri" w:hAnsi="Calibri" w:cs="Calibri"/>
          <w:sz w:val="22"/>
          <w:szCs w:val="22"/>
        </w:rPr>
        <w:t>)</w:t>
      </w:r>
      <w:r w:rsidRPr="0025679E">
        <w:rPr>
          <w:rFonts w:ascii="Calibri" w:hAnsi="Calibri" w:cs="Calibri"/>
          <w:sz w:val="22"/>
          <w:szCs w:val="22"/>
        </w:rPr>
        <w:t xml:space="preserve">. A következő hónapoktól pedig a támogatás finanszírozása a 2.3.3. jogcím megemelésével havonta 8%-kal fog történni.  Az előbbiekben nevesített támogatás mindösszesen összege 3.631 eFt. Ezen összeggel megemelésre került a bevételi előirányzatok között a „Települési önkormányzatok kulturális feladatainak támogatása”. </w:t>
      </w:r>
      <w:r w:rsidR="0025679E">
        <w:rPr>
          <w:rFonts w:ascii="Calibri" w:hAnsi="Calibri" w:cs="Calibri"/>
          <w:sz w:val="22"/>
          <w:szCs w:val="22"/>
        </w:rPr>
        <w:t xml:space="preserve"> Az összeg jelen rendeletmódosításban bevételi többletként jelentkezik, mivel az érintett kulturális intézmények és gazdasági társaságok 2024. évre szóló eredeti költségvetésében és üzleti tervében a nevezett bérelemek már megtervezésre kerültek, az állami </w:t>
      </w:r>
      <w:r w:rsidR="0025679E">
        <w:rPr>
          <w:rFonts w:ascii="Calibri" w:hAnsi="Calibri" w:cs="Calibri"/>
          <w:sz w:val="22"/>
          <w:szCs w:val="22"/>
        </w:rPr>
        <w:lastRenderedPageBreak/>
        <w:t xml:space="preserve">finanszírozás volt jelen esetben utólagos-kiegészítő támogatás. </w:t>
      </w:r>
    </w:p>
    <w:p w14:paraId="4D38A716" w14:textId="74070F9C" w:rsidR="00AE7DB8" w:rsidRPr="009000E6" w:rsidRDefault="00AE7DB8" w:rsidP="00AE7DB8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2023. évi beszámoló keretében történt elszámolás alapján az</w:t>
      </w:r>
      <w:r w:rsidRPr="009848BC">
        <w:rPr>
          <w:rFonts w:ascii="Calibri" w:hAnsi="Calibri" w:cs="Calibri"/>
          <w:sz w:val="22"/>
          <w:szCs w:val="22"/>
        </w:rPr>
        <w:t xml:space="preserve"> általános működési és ágazati feladatok támogatásai vonatkozásában</w:t>
      </w:r>
      <w:r>
        <w:rPr>
          <w:rFonts w:ascii="Calibri" w:hAnsi="Calibri" w:cs="Calibri"/>
          <w:sz w:val="22"/>
          <w:szCs w:val="22"/>
        </w:rPr>
        <w:t xml:space="preserve"> önkormányzatunknak</w:t>
      </w:r>
      <w:r w:rsidRPr="00FC6FB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18.798 </w:t>
      </w:r>
      <w:r w:rsidRPr="00FC6FBB">
        <w:rPr>
          <w:rFonts w:ascii="Calibri" w:hAnsi="Calibri" w:cs="Calibri"/>
          <w:sz w:val="22"/>
          <w:szCs w:val="22"/>
        </w:rPr>
        <w:t>eFt összegű</w:t>
      </w:r>
      <w:r>
        <w:rPr>
          <w:rFonts w:ascii="Calibri" w:hAnsi="Calibri" w:cs="Calibri"/>
          <w:sz w:val="22"/>
          <w:szCs w:val="22"/>
        </w:rPr>
        <w:t xml:space="preserve"> </w:t>
      </w:r>
      <w:r w:rsidRPr="009000E6">
        <w:rPr>
          <w:rFonts w:ascii="Calibri" w:hAnsi="Calibri" w:cs="Calibri"/>
          <w:sz w:val="22"/>
          <w:szCs w:val="22"/>
        </w:rPr>
        <w:t xml:space="preserve">pótigénye keletkezett. </w:t>
      </w:r>
    </w:p>
    <w:p w14:paraId="1442BBEC" w14:textId="621283C0" w:rsidR="000E6FCC" w:rsidRDefault="000E6FCC" w:rsidP="0025679E">
      <w:pPr>
        <w:ind w:left="708"/>
        <w:jc w:val="both"/>
        <w:rPr>
          <w:rFonts w:ascii="Calibri" w:hAnsi="Calibri" w:cs="Calibri"/>
          <w:sz w:val="22"/>
          <w:szCs w:val="22"/>
        </w:rPr>
      </w:pPr>
    </w:p>
    <w:p w14:paraId="27614DC7" w14:textId="251C49C4" w:rsidR="00500B0C" w:rsidRPr="00F14DC1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3972EF">
        <w:rPr>
          <w:rFonts w:ascii="Calibri" w:hAnsi="Calibri" w:cs="Calibri"/>
          <w:b/>
          <w:i/>
          <w:sz w:val="22"/>
          <w:szCs w:val="22"/>
          <w:u w:val="single"/>
        </w:rPr>
        <w:t>+22.429</w:t>
      </w:r>
      <w:r w:rsidR="00293327" w:rsidRPr="00F14DC1">
        <w:rPr>
          <w:rFonts w:ascii="Calibri" w:hAnsi="Calibri" w:cs="Calibri"/>
          <w:b/>
          <w:i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5AF18463" w14:textId="77777777" w:rsidR="00BF3A9B" w:rsidRPr="00F14DC1" w:rsidRDefault="00BF3A9B" w:rsidP="00BF3A9B">
      <w:pPr>
        <w:ind w:left="72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E70B389" w14:textId="03304D56" w:rsidR="00500B0C" w:rsidRDefault="00500B0C" w:rsidP="00AE7DB8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sz w:val="22"/>
          <w:szCs w:val="22"/>
        </w:rPr>
        <w:t xml:space="preserve">A költségvetési szervek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saját hatáskörben végrehajtható előirányzat módosítási</w:t>
      </w:r>
      <w:r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 xml:space="preserve">kérelmet nyújtottak be. A bevételi és kiadási előirányzataik ezen módosítással összességében </w:t>
      </w:r>
      <w:r w:rsidR="00D96D30">
        <w:rPr>
          <w:rFonts w:ascii="Calibri" w:hAnsi="Calibri" w:cs="Calibri"/>
          <w:sz w:val="22"/>
          <w:szCs w:val="22"/>
        </w:rPr>
        <w:t>83.200</w:t>
      </w:r>
      <w:r w:rsidRPr="00F14DC1">
        <w:rPr>
          <w:rFonts w:ascii="Calibri" w:hAnsi="Calibri" w:cs="Calibri"/>
          <w:sz w:val="22"/>
          <w:szCs w:val="22"/>
        </w:rPr>
        <w:t xml:space="preserve"> eFt-tal </w:t>
      </w:r>
      <w:r w:rsidR="00E43772" w:rsidRPr="00F14DC1">
        <w:rPr>
          <w:rFonts w:ascii="Calibri" w:hAnsi="Calibri" w:cs="Calibri"/>
          <w:sz w:val="22"/>
          <w:szCs w:val="22"/>
        </w:rPr>
        <w:t>növeked</w:t>
      </w:r>
      <w:r w:rsidR="00171A15">
        <w:rPr>
          <w:rFonts w:ascii="Calibri" w:hAnsi="Calibri" w:cs="Calibri"/>
          <w:sz w:val="22"/>
          <w:szCs w:val="22"/>
        </w:rPr>
        <w:t>tek</w:t>
      </w:r>
      <w:r w:rsidR="00E43772" w:rsidRPr="00F14DC1">
        <w:rPr>
          <w:rFonts w:ascii="Calibri" w:hAnsi="Calibri" w:cs="Calibri"/>
          <w:sz w:val="22"/>
          <w:szCs w:val="22"/>
        </w:rPr>
        <w:t>.</w:t>
      </w:r>
    </w:p>
    <w:p w14:paraId="256474BD" w14:textId="77777777" w:rsidR="00FC4CAB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35B838B6" w14:textId="0D8CAE44" w:rsidR="00296253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Szombathelyi Köznevelési GAMESZ valamint a 18 óvoda összesen </w:t>
      </w:r>
      <w:r w:rsidR="00296253" w:rsidRPr="001916FD">
        <w:rPr>
          <w:rFonts w:ascii="Calibri" w:hAnsi="Calibri" w:cs="Calibri"/>
          <w:sz w:val="22"/>
          <w:szCs w:val="22"/>
        </w:rPr>
        <w:t>2.298</w:t>
      </w:r>
      <w:r w:rsidRPr="001916FD">
        <w:rPr>
          <w:rFonts w:ascii="Calibri" w:hAnsi="Calibri" w:cs="Calibri"/>
          <w:sz w:val="22"/>
          <w:szCs w:val="22"/>
        </w:rPr>
        <w:t xml:space="preserve"> eFt működési bevételi többletet realizált. Ezen bevételek az óvodák tekintetében </w:t>
      </w:r>
      <w:r w:rsidR="00296253" w:rsidRPr="001916FD">
        <w:rPr>
          <w:rFonts w:ascii="Calibri" w:hAnsi="Calibri" w:cs="Calibri"/>
          <w:sz w:val="22"/>
          <w:szCs w:val="22"/>
        </w:rPr>
        <w:t>óvodai szolgáltatás (</w:t>
      </w:r>
      <w:r w:rsidR="0073404B" w:rsidRPr="001916FD">
        <w:rPr>
          <w:rFonts w:ascii="Calibri" w:hAnsi="Calibri" w:cs="Calibri"/>
          <w:sz w:val="22"/>
          <w:szCs w:val="22"/>
        </w:rPr>
        <w:t xml:space="preserve">pl. </w:t>
      </w:r>
      <w:r w:rsidR="00296253" w:rsidRPr="001916FD">
        <w:rPr>
          <w:rFonts w:ascii="Calibri" w:hAnsi="Calibri" w:cs="Calibri"/>
          <w:sz w:val="22"/>
          <w:szCs w:val="22"/>
        </w:rPr>
        <w:t xml:space="preserve">korcsolya oktatás) </w:t>
      </w:r>
      <w:r w:rsidRPr="001916FD">
        <w:rPr>
          <w:rFonts w:ascii="Calibri" w:hAnsi="Calibri" w:cs="Calibri"/>
          <w:sz w:val="22"/>
          <w:szCs w:val="22"/>
        </w:rPr>
        <w:t xml:space="preserve">kapcsolódó befizetésekből származnak. A Szombathelyi Köznevelési GAMESZ vonatkozásában pedig </w:t>
      </w:r>
      <w:r w:rsidR="00296253" w:rsidRPr="001916FD">
        <w:rPr>
          <w:rFonts w:ascii="Calibri" w:hAnsi="Calibri" w:cs="Calibri"/>
          <w:sz w:val="22"/>
          <w:szCs w:val="22"/>
        </w:rPr>
        <w:t xml:space="preserve">a nem szombathelyi lakcímmel rendelkező óvodások után a vidéki önkormányzatok által befizetett étkezési hozzájárulások bevételi többlete. </w:t>
      </w:r>
    </w:p>
    <w:p w14:paraId="268B5DBC" w14:textId="5C17A75C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Ezen többletbevételek a hozzá kapcsolódó kiadási előirányzatokra (</w:t>
      </w:r>
      <w:r w:rsidR="0073404B" w:rsidRPr="001916FD">
        <w:rPr>
          <w:rFonts w:ascii="Calibri" w:hAnsi="Calibri" w:cs="Calibri"/>
          <w:sz w:val="22"/>
          <w:szCs w:val="22"/>
        </w:rPr>
        <w:t>szakmai anyag beszerzések, vásárolt élelmezési kiadások és a hozzá kapcsolódó áfa kiadás</w:t>
      </w:r>
      <w:r w:rsidRPr="001916FD">
        <w:rPr>
          <w:rFonts w:ascii="Calibri" w:hAnsi="Calibri" w:cs="Calibri"/>
          <w:sz w:val="22"/>
          <w:szCs w:val="22"/>
        </w:rPr>
        <w:t>) kerültek felhasználásra.</w:t>
      </w:r>
    </w:p>
    <w:p w14:paraId="4AABF545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4688E175" w14:textId="35E67F3A" w:rsidR="0073404B" w:rsidRPr="001916FD" w:rsidRDefault="0099149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Három</w:t>
      </w:r>
      <w:r w:rsidR="0073404B" w:rsidRPr="001916FD">
        <w:rPr>
          <w:rFonts w:ascii="Calibri" w:hAnsi="Calibri" w:cs="Calibri"/>
          <w:sz w:val="22"/>
          <w:szCs w:val="22"/>
        </w:rPr>
        <w:t xml:space="preserve"> óvoda esetében a személyi juttatások és munkaadókat terhelő járulékok előirányzatáról átcsoportosítás történt a beruházási és felújítási kiadásokra (Aréna Óvoda - redőny felszerelés, Kőrösi Cs. S. u. Óvoda - udvari játékok beszerzése, Szűrcsapó Óvoda – óvodai klíma berendezés és medence körüli faburkolat kialakítása</w:t>
      </w:r>
      <w:r w:rsidR="00FB14C0">
        <w:rPr>
          <w:rFonts w:ascii="Calibri" w:hAnsi="Calibri" w:cs="Calibri"/>
          <w:sz w:val="22"/>
          <w:szCs w:val="22"/>
        </w:rPr>
        <w:t>)</w:t>
      </w:r>
      <w:r w:rsidR="0073404B" w:rsidRPr="001916FD">
        <w:rPr>
          <w:rFonts w:ascii="Calibri" w:hAnsi="Calibri" w:cs="Calibri"/>
          <w:sz w:val="22"/>
          <w:szCs w:val="22"/>
        </w:rPr>
        <w:t xml:space="preserve">. Ezen átcsoportosítások </w:t>
      </w:r>
      <w:r w:rsidR="0073404B" w:rsidRPr="001916FD">
        <w:rPr>
          <w:rFonts w:ascii="Calibri" w:hAnsi="Calibri" w:cs="Calibri"/>
          <w:sz w:val="22"/>
          <w:szCs w:val="22"/>
        </w:rPr>
        <w:lastRenderedPageBreak/>
        <w:t xml:space="preserve">már a 2023.évi kötelezettségvállalással terhelt maradvány összegekhez kapcsolódnak. </w:t>
      </w:r>
    </w:p>
    <w:p w14:paraId="473999A6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9BF398E" w14:textId="571F8771" w:rsidR="0073404B" w:rsidRPr="001916FD" w:rsidRDefault="005D1D5D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Ezen felül több óvoda, illetve a Szombathelyi Köznevelési Gamesz esetében dologi kiadások előirányzatáról átcsoportosítás történt a beruházási kiadások előirányzatára a számviteli szabályok szerinti könyvelési felmerülési helynek megfelelően. A beruházási tételek így az alábbiak lettek: csoportszoba és tornaszoba kialakítása miatt tűzvédelmi terv elkészítése, homokozó káva csere, fénymásoló beszerzés, hulladékgyűjtő edény, stb. </w:t>
      </w:r>
    </w:p>
    <w:p w14:paraId="01A7D086" w14:textId="77777777" w:rsidR="0073404B" w:rsidRPr="001916FD" w:rsidRDefault="0073404B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6BFE6382" w14:textId="1224F647" w:rsidR="00226D34" w:rsidRPr="001916FD" w:rsidRDefault="00226D3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A Pálos Károly Szociális Szolgáltató Központ és Gyermekjóléti Szolgálat intézményi többletbevétele (28.000 eFt) az ÁFA visszatérülésből, a kistérségi települések társulási megállapodás alapján megtérült fizetési kötelezettségeiből származik. A többletbevételből az intézményi alapfeladat ellátását biztosító gépjármű beszerzését fog megtörténni (jelenlegi gépjármű park elöregedése miatt), valamint a Családok Átmeneti Otthona elhasználódott bútorzata kerül lecseré</w:t>
      </w:r>
      <w:r w:rsidR="006806CB">
        <w:rPr>
          <w:rFonts w:ascii="Calibri" w:hAnsi="Calibri" w:cs="Calibri"/>
          <w:sz w:val="22"/>
          <w:szCs w:val="22"/>
        </w:rPr>
        <w:t>lés</w:t>
      </w:r>
      <w:r w:rsidRPr="001916FD">
        <w:rPr>
          <w:rFonts w:ascii="Calibri" w:hAnsi="Calibri" w:cs="Calibri"/>
          <w:sz w:val="22"/>
          <w:szCs w:val="22"/>
        </w:rPr>
        <w:t xml:space="preserve">re. Továbbá a Szőllősi sétány u. épület egység udvari teraszának burkolat felújítását tervezi az intézmény. </w:t>
      </w:r>
    </w:p>
    <w:p w14:paraId="7B09E1CC" w14:textId="0F488678" w:rsidR="00226D34" w:rsidRPr="001916FD" w:rsidRDefault="00226D34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</w:t>
      </w:r>
      <w:r w:rsidR="000476EC" w:rsidRPr="001916FD">
        <w:rPr>
          <w:rFonts w:ascii="Calibri" w:hAnsi="Calibri" w:cs="Calibri"/>
          <w:sz w:val="22"/>
          <w:szCs w:val="22"/>
        </w:rPr>
        <w:t>jelzőrendszeres házi segítségnyújtás ellátásához kapott alap és teljesítmény támogatásból származ</w:t>
      </w:r>
      <w:r w:rsidRPr="001916FD">
        <w:rPr>
          <w:rFonts w:ascii="Calibri" w:hAnsi="Calibri" w:cs="Calibri"/>
          <w:sz w:val="22"/>
          <w:szCs w:val="22"/>
        </w:rPr>
        <w:t xml:space="preserve">ó 4.190 eFt összegű átvett pénz a szolgáltatáshoz kapcsolódó dologi kiadásokra kerül beemelésre. </w:t>
      </w:r>
    </w:p>
    <w:p w14:paraId="79A8D927" w14:textId="77777777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D9FB4DD" w14:textId="7F09C018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Az Egyesített Bölcsődei Intézmény </w:t>
      </w:r>
      <w:r w:rsidR="00ED1695" w:rsidRPr="001916FD">
        <w:rPr>
          <w:rFonts w:ascii="Calibri" w:hAnsi="Calibri" w:cs="Calibri"/>
          <w:sz w:val="22"/>
          <w:szCs w:val="22"/>
        </w:rPr>
        <w:t>6.155</w:t>
      </w:r>
      <w:r w:rsidRPr="001916FD">
        <w:rPr>
          <w:rFonts w:ascii="Calibri" w:hAnsi="Calibri" w:cs="Calibri"/>
          <w:sz w:val="22"/>
          <w:szCs w:val="22"/>
        </w:rPr>
        <w:t xml:space="preserve"> e Ft szakképzési hozzájárulást kapott tanulószerződéssel rendelkező tanulók béréhez</w:t>
      </w:r>
      <w:r w:rsidR="00ED1695" w:rsidRPr="001916FD">
        <w:rPr>
          <w:rFonts w:ascii="Calibri" w:hAnsi="Calibri" w:cs="Calibri"/>
          <w:sz w:val="22"/>
          <w:szCs w:val="22"/>
        </w:rPr>
        <w:t xml:space="preserve">, így a személyi juttatások és munkaadókat terhelő járulékok előirányzata kerül megemelésre. </w:t>
      </w:r>
      <w:r w:rsidR="00A60997" w:rsidRPr="001916FD">
        <w:rPr>
          <w:rFonts w:ascii="Calibri" w:hAnsi="Calibri" w:cs="Calibri"/>
          <w:sz w:val="22"/>
          <w:szCs w:val="22"/>
        </w:rPr>
        <w:t>Továbbá dologi kiadásokból került átcsoportosításra a felhalmozási kiadási tételekre 3.624 eFt. A felhasználási célok az alábbiak: ház</w:t>
      </w:r>
      <w:r w:rsidR="00A60997" w:rsidRPr="001916FD">
        <w:rPr>
          <w:rFonts w:ascii="Calibri" w:hAnsi="Calibri" w:cs="Calibri"/>
          <w:sz w:val="22"/>
          <w:szCs w:val="22"/>
        </w:rPr>
        <w:lastRenderedPageBreak/>
        <w:t xml:space="preserve">tartási eszközök beszerzése, hivatali gépjárműhöz gumiabroncs beszerzés, Napraforgó Bölcsőde tető felújítás. </w:t>
      </w:r>
    </w:p>
    <w:p w14:paraId="7B20949F" w14:textId="77777777" w:rsidR="000476EC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9D6195D" w14:textId="3FEF70B3" w:rsidR="00124B57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Vásárcsarnok </w:t>
      </w:r>
      <w:r w:rsidR="00124B57" w:rsidRPr="001916FD">
        <w:rPr>
          <w:rFonts w:ascii="Calibri" w:hAnsi="Calibri" w:cs="Calibri"/>
          <w:sz w:val="22"/>
          <w:szCs w:val="22"/>
        </w:rPr>
        <w:t>a dologi kiadások 5.000 eFt-al történő csökkentése mellett emeli a beruházások előirányzatát</w:t>
      </w:r>
      <w:r w:rsidR="00C76D36" w:rsidRPr="001916FD">
        <w:rPr>
          <w:rFonts w:ascii="Calibri" w:hAnsi="Calibri" w:cs="Calibri"/>
          <w:sz w:val="22"/>
          <w:szCs w:val="22"/>
        </w:rPr>
        <w:t xml:space="preserve"> </w:t>
      </w:r>
      <w:r w:rsidR="00124B57" w:rsidRPr="001916FD">
        <w:rPr>
          <w:rFonts w:ascii="Calibri" w:hAnsi="Calibri" w:cs="Calibri"/>
          <w:sz w:val="22"/>
          <w:szCs w:val="22"/>
        </w:rPr>
        <w:t xml:space="preserve">a számviteli szabályok szerinti elszámolási helynek megfelelően. </w:t>
      </w:r>
      <w:r w:rsidR="00C76D36" w:rsidRPr="001916FD">
        <w:rPr>
          <w:rFonts w:ascii="Calibri" w:hAnsi="Calibri" w:cs="Calibri"/>
          <w:sz w:val="22"/>
          <w:szCs w:val="22"/>
        </w:rPr>
        <w:t>A beszerzések az alábbiak: irodaszék, csőkamera, gombavizs</w:t>
      </w:r>
      <w:r w:rsidR="001916FD">
        <w:rPr>
          <w:rFonts w:ascii="Calibri" w:hAnsi="Calibri" w:cs="Calibri"/>
          <w:sz w:val="22"/>
          <w:szCs w:val="22"/>
        </w:rPr>
        <w:t>g</w:t>
      </w:r>
      <w:r w:rsidR="00C76D36" w:rsidRPr="001916FD">
        <w:rPr>
          <w:rFonts w:ascii="Calibri" w:hAnsi="Calibri" w:cs="Calibri"/>
          <w:sz w:val="22"/>
          <w:szCs w:val="22"/>
        </w:rPr>
        <w:t xml:space="preserve">áló kiadó ablak kialakítása, stb. </w:t>
      </w:r>
    </w:p>
    <w:p w14:paraId="1E613082" w14:textId="77777777" w:rsidR="00124B57" w:rsidRPr="001916FD" w:rsidRDefault="00124B57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051FD48B" w14:textId="6044C597" w:rsidR="00F10094" w:rsidRPr="001916FD" w:rsidRDefault="000476EC" w:rsidP="000476EC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 xml:space="preserve">A Polgármesteri Hivatal </w:t>
      </w:r>
      <w:r w:rsidR="00F10094" w:rsidRPr="001916FD">
        <w:rPr>
          <w:rFonts w:ascii="Calibri" w:hAnsi="Calibri" w:cs="Calibri"/>
          <w:sz w:val="22"/>
          <w:szCs w:val="22"/>
        </w:rPr>
        <w:t>intézményi működési bevételi többlete (2.092 eFt) döntő</w:t>
      </w:r>
      <w:r w:rsidR="00FB3183" w:rsidRPr="001916FD">
        <w:rPr>
          <w:rFonts w:ascii="Calibri" w:hAnsi="Calibri" w:cs="Calibri"/>
          <w:sz w:val="22"/>
          <w:szCs w:val="22"/>
        </w:rPr>
        <w:t xml:space="preserve">en a </w:t>
      </w:r>
      <w:r w:rsidR="00F10094" w:rsidRPr="001916FD">
        <w:rPr>
          <w:rFonts w:ascii="Calibri" w:hAnsi="Calibri" w:cs="Calibri"/>
          <w:sz w:val="22"/>
          <w:szCs w:val="22"/>
        </w:rPr>
        <w:t xml:space="preserve">gázdíj visszatérítésből </w:t>
      </w:r>
      <w:r w:rsidR="00FB3183" w:rsidRPr="001916FD">
        <w:rPr>
          <w:rFonts w:ascii="Calibri" w:hAnsi="Calibri" w:cs="Calibri"/>
          <w:sz w:val="22"/>
          <w:szCs w:val="22"/>
        </w:rPr>
        <w:t xml:space="preserve">származik, melyet dologi kiadásokra kíván bemódosítani. </w:t>
      </w:r>
    </w:p>
    <w:p w14:paraId="023E03AB" w14:textId="5FBEEC2C" w:rsidR="000476EC" w:rsidRPr="001916FD" w:rsidRDefault="00FB3183" w:rsidP="00A033A1">
      <w:pPr>
        <w:ind w:left="720"/>
        <w:jc w:val="both"/>
        <w:rPr>
          <w:rFonts w:ascii="Calibri" w:hAnsi="Calibri" w:cs="Calibri"/>
          <w:sz w:val="22"/>
          <w:szCs w:val="22"/>
        </w:rPr>
      </w:pPr>
      <w:r w:rsidRPr="001916FD">
        <w:rPr>
          <w:rFonts w:ascii="Calibri" w:hAnsi="Calibri" w:cs="Calibri"/>
          <w:sz w:val="22"/>
          <w:szCs w:val="22"/>
        </w:rPr>
        <w:t>A működési célú támogatások államháztartáson belülről kiemelt előirányzat 40.345 eFt összeggel nő</w:t>
      </w:r>
      <w:r w:rsidR="00374081">
        <w:rPr>
          <w:rFonts w:ascii="Calibri" w:hAnsi="Calibri" w:cs="Calibri"/>
          <w:sz w:val="22"/>
          <w:szCs w:val="22"/>
        </w:rPr>
        <w:t xml:space="preserve"> mely e</w:t>
      </w:r>
      <w:r w:rsidRPr="001916FD">
        <w:rPr>
          <w:rFonts w:ascii="Calibri" w:hAnsi="Calibri" w:cs="Calibri"/>
          <w:sz w:val="22"/>
          <w:szCs w:val="22"/>
        </w:rPr>
        <w:t>gyrészt a 2024. évi EP és önkormányzati választás normatív támogatásának összegéből keletkezik</w:t>
      </w:r>
      <w:r w:rsidR="00374081">
        <w:rPr>
          <w:rFonts w:ascii="Calibri" w:hAnsi="Calibri" w:cs="Calibri"/>
          <w:sz w:val="22"/>
          <w:szCs w:val="22"/>
        </w:rPr>
        <w:t xml:space="preserve"> (</w:t>
      </w:r>
      <w:r w:rsidRPr="001916FD">
        <w:rPr>
          <w:rFonts w:ascii="Calibri" w:hAnsi="Calibri" w:cs="Calibri"/>
          <w:sz w:val="22"/>
          <w:szCs w:val="22"/>
        </w:rPr>
        <w:t>38.185 eFt</w:t>
      </w:r>
      <w:r w:rsidR="00374081">
        <w:rPr>
          <w:rFonts w:ascii="Calibri" w:hAnsi="Calibri" w:cs="Calibri"/>
          <w:sz w:val="22"/>
          <w:szCs w:val="22"/>
        </w:rPr>
        <w:t>),</w:t>
      </w:r>
      <w:r w:rsidRPr="001916FD">
        <w:rPr>
          <w:rFonts w:ascii="Calibri" w:hAnsi="Calibri" w:cs="Calibri"/>
          <w:sz w:val="22"/>
          <w:szCs w:val="22"/>
        </w:rPr>
        <w:t xml:space="preserve"> másrészt pedig </w:t>
      </w:r>
      <w:r w:rsidR="00F10094" w:rsidRPr="001916FD">
        <w:rPr>
          <w:rFonts w:ascii="Calibri" w:hAnsi="Calibri" w:cs="Calibri"/>
          <w:sz w:val="22"/>
          <w:szCs w:val="22"/>
        </w:rPr>
        <w:t xml:space="preserve">a mezőőri szolgálat működéséhez kapott támogatás </w:t>
      </w:r>
      <w:r w:rsidRPr="001916FD">
        <w:rPr>
          <w:rFonts w:ascii="Calibri" w:hAnsi="Calibri" w:cs="Calibri"/>
          <w:sz w:val="22"/>
          <w:szCs w:val="22"/>
        </w:rPr>
        <w:t>összegéből</w:t>
      </w:r>
      <w:r w:rsidR="00374081">
        <w:rPr>
          <w:rFonts w:ascii="Calibri" w:hAnsi="Calibri" w:cs="Calibri"/>
          <w:sz w:val="22"/>
          <w:szCs w:val="22"/>
        </w:rPr>
        <w:t xml:space="preserve"> (2.160 eFt).</w:t>
      </w:r>
      <w:r w:rsidRPr="001916FD">
        <w:rPr>
          <w:rFonts w:ascii="Calibri" w:hAnsi="Calibri" w:cs="Calibri"/>
          <w:sz w:val="22"/>
          <w:szCs w:val="22"/>
        </w:rPr>
        <w:t xml:space="preserve"> </w:t>
      </w:r>
      <w:r w:rsidR="000476EC" w:rsidRPr="001916FD">
        <w:rPr>
          <w:rFonts w:ascii="Calibri" w:hAnsi="Calibri" w:cs="Calibri"/>
          <w:sz w:val="22"/>
          <w:szCs w:val="22"/>
        </w:rPr>
        <w:t xml:space="preserve">A </w:t>
      </w:r>
      <w:r w:rsidR="00374081">
        <w:rPr>
          <w:rFonts w:ascii="Calibri" w:hAnsi="Calibri" w:cs="Calibri"/>
          <w:sz w:val="22"/>
          <w:szCs w:val="22"/>
        </w:rPr>
        <w:t>bevételi többletek</w:t>
      </w:r>
      <w:r w:rsidR="000476EC" w:rsidRPr="001916FD">
        <w:rPr>
          <w:rFonts w:ascii="Calibri" w:hAnsi="Calibri" w:cs="Calibri"/>
          <w:sz w:val="22"/>
          <w:szCs w:val="22"/>
        </w:rPr>
        <w:t xml:space="preserve"> a</w:t>
      </w:r>
      <w:r w:rsidR="00A033A1" w:rsidRPr="001916FD">
        <w:rPr>
          <w:rFonts w:ascii="Calibri" w:hAnsi="Calibri" w:cs="Calibri"/>
          <w:sz w:val="22"/>
          <w:szCs w:val="22"/>
        </w:rPr>
        <w:t xml:space="preserve"> támogatások elszámolási rendjének megfelelő</w:t>
      </w:r>
      <w:r w:rsidR="000476EC" w:rsidRPr="001916FD">
        <w:rPr>
          <w:rFonts w:ascii="Calibri" w:hAnsi="Calibri" w:cs="Calibri"/>
          <w:sz w:val="22"/>
          <w:szCs w:val="22"/>
        </w:rPr>
        <w:t xml:space="preserve"> kiadási előirányzatok</w:t>
      </w:r>
      <w:r w:rsidR="00374081">
        <w:rPr>
          <w:rFonts w:ascii="Calibri" w:hAnsi="Calibri" w:cs="Calibri"/>
          <w:sz w:val="22"/>
          <w:szCs w:val="22"/>
        </w:rPr>
        <w:t>ra</w:t>
      </w:r>
      <w:r w:rsidR="000476EC" w:rsidRPr="001916FD">
        <w:rPr>
          <w:rFonts w:ascii="Calibri" w:hAnsi="Calibri" w:cs="Calibri"/>
          <w:sz w:val="22"/>
          <w:szCs w:val="22"/>
        </w:rPr>
        <w:t xml:space="preserve"> </w:t>
      </w:r>
      <w:r w:rsidR="00A033A1" w:rsidRPr="001916FD">
        <w:rPr>
          <w:rFonts w:ascii="Calibri" w:hAnsi="Calibri" w:cs="Calibri"/>
          <w:sz w:val="22"/>
          <w:szCs w:val="22"/>
        </w:rPr>
        <w:t>kerül</w:t>
      </w:r>
      <w:r w:rsidR="00374081">
        <w:rPr>
          <w:rFonts w:ascii="Calibri" w:hAnsi="Calibri" w:cs="Calibri"/>
          <w:sz w:val="22"/>
          <w:szCs w:val="22"/>
        </w:rPr>
        <w:t xml:space="preserve">tek beemelésre. </w:t>
      </w:r>
      <w:r w:rsidR="00A033A1" w:rsidRPr="001916FD">
        <w:rPr>
          <w:rFonts w:ascii="Calibri" w:hAnsi="Calibri" w:cs="Calibri"/>
          <w:sz w:val="22"/>
          <w:szCs w:val="22"/>
        </w:rPr>
        <w:t xml:space="preserve"> </w:t>
      </w:r>
    </w:p>
    <w:p w14:paraId="47738707" w14:textId="77777777" w:rsidR="00FC4CAB" w:rsidRPr="001916FD" w:rsidRDefault="00FC4CAB" w:rsidP="00FC4CAB">
      <w:pPr>
        <w:jc w:val="both"/>
        <w:rPr>
          <w:rFonts w:ascii="Calibri" w:hAnsi="Calibri" w:cs="Calibri"/>
          <w:sz w:val="22"/>
          <w:szCs w:val="22"/>
        </w:rPr>
      </w:pPr>
    </w:p>
    <w:p w14:paraId="77A91CA7" w14:textId="77777777" w:rsidR="00500B0C" w:rsidRPr="00F14DC1" w:rsidRDefault="00500B0C" w:rsidP="009003C4">
      <w:pPr>
        <w:ind w:left="426" w:hanging="284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sz w:val="22"/>
          <w:szCs w:val="22"/>
        </w:rPr>
        <w:t xml:space="preserve">     </w:t>
      </w:r>
      <w:r w:rsidRPr="009003C4">
        <w:rPr>
          <w:rFonts w:ascii="Calibri" w:hAnsi="Calibri" w:cs="Calibri"/>
          <w:b/>
          <w:bCs/>
          <w:i/>
          <w:iCs/>
          <w:sz w:val="22"/>
          <w:szCs w:val="22"/>
        </w:rPr>
        <w:t>b)</w:t>
      </w:r>
      <w:r w:rsidR="00BF5DCF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="009003C4" w:rsidRPr="009003C4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B6248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color w:val="FF0000"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2DBD2935" w14:textId="77777777" w:rsidR="00500B0C" w:rsidRPr="00F14DC1" w:rsidRDefault="00500B0C" w:rsidP="00500B0C">
      <w:pPr>
        <w:jc w:val="both"/>
        <w:rPr>
          <w:rFonts w:ascii="Calibri" w:hAnsi="Calibri" w:cs="Calibri"/>
          <w:sz w:val="22"/>
          <w:szCs w:val="22"/>
        </w:rPr>
      </w:pPr>
    </w:p>
    <w:p w14:paraId="1F82DB95" w14:textId="16B51306" w:rsidR="00626CF9" w:rsidRPr="003972EF" w:rsidRDefault="00500B0C" w:rsidP="003972EF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>működési és felhalmozási célú államháztartáson belülről kapott támogatások, és a működési és felhalmozási célú átvett pénzeszközök bevételei</w:t>
      </w:r>
      <w:r w:rsidRPr="00F14DC1">
        <w:rPr>
          <w:rFonts w:ascii="Calibri" w:hAnsi="Calibri" w:cs="Calibri"/>
          <w:sz w:val="22"/>
          <w:szCs w:val="22"/>
        </w:rPr>
        <w:t xml:space="preserve"> jellegéből adódóan meghatározott célú kiadások teljesítésének fedezetéül szolgálnak. A működési célú előirányzat </w:t>
      </w:r>
      <w:r w:rsidR="003972EF">
        <w:rPr>
          <w:rFonts w:ascii="Calibri" w:hAnsi="Calibri" w:cs="Calibri"/>
          <w:sz w:val="22"/>
          <w:szCs w:val="22"/>
        </w:rPr>
        <w:t>2.361</w:t>
      </w:r>
      <w:r w:rsidRPr="00F14DC1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F14DC1">
        <w:rPr>
          <w:rFonts w:ascii="Calibri" w:hAnsi="Calibri" w:cs="Calibri"/>
          <w:sz w:val="22"/>
          <w:szCs w:val="22"/>
        </w:rPr>
        <w:t>eFt összeggel növekedett</w:t>
      </w:r>
      <w:r w:rsidR="003972EF">
        <w:rPr>
          <w:rFonts w:ascii="Calibri" w:hAnsi="Calibri" w:cs="Calibri"/>
          <w:sz w:val="22"/>
          <w:szCs w:val="22"/>
        </w:rPr>
        <w:t>, mely abból adódott, hogy m</w:t>
      </w:r>
      <w:r w:rsidR="00626CF9" w:rsidRPr="003972EF">
        <w:rPr>
          <w:rFonts w:ascii="Calibri" w:hAnsi="Calibri" w:cs="Calibri"/>
          <w:sz w:val="22"/>
          <w:szCs w:val="22"/>
        </w:rPr>
        <w:t>egtörtént a kéményseprő-ipari közszolgáltatás helyi önkormányzat általi ellátásának 202</w:t>
      </w:r>
      <w:r w:rsidR="00FC4CAB" w:rsidRPr="003972EF">
        <w:rPr>
          <w:rFonts w:ascii="Calibri" w:hAnsi="Calibri" w:cs="Calibri"/>
          <w:sz w:val="22"/>
          <w:szCs w:val="22"/>
        </w:rPr>
        <w:t>3</w:t>
      </w:r>
      <w:r w:rsidR="00835BC8" w:rsidRPr="003972EF">
        <w:rPr>
          <w:rFonts w:ascii="Calibri" w:hAnsi="Calibri" w:cs="Calibri"/>
          <w:sz w:val="22"/>
          <w:szCs w:val="22"/>
        </w:rPr>
        <w:t>.</w:t>
      </w:r>
      <w:r w:rsidR="00626CF9" w:rsidRPr="003972EF">
        <w:rPr>
          <w:rFonts w:ascii="Calibri" w:hAnsi="Calibri" w:cs="Calibri"/>
          <w:sz w:val="22"/>
          <w:szCs w:val="22"/>
        </w:rPr>
        <w:t xml:space="preserve"> évi elszámolása, mely alapján mindösszesen </w:t>
      </w:r>
      <w:r w:rsidR="004267A7" w:rsidRPr="003972EF">
        <w:rPr>
          <w:rFonts w:ascii="Calibri" w:hAnsi="Calibri" w:cs="Calibri"/>
          <w:sz w:val="22"/>
          <w:szCs w:val="22"/>
        </w:rPr>
        <w:t>2.361</w:t>
      </w:r>
      <w:r w:rsidR="00626CF9" w:rsidRPr="003972EF">
        <w:rPr>
          <w:rFonts w:ascii="Calibri" w:hAnsi="Calibri" w:cs="Calibri"/>
          <w:sz w:val="22"/>
          <w:szCs w:val="22"/>
        </w:rPr>
        <w:t xml:space="preserve"> eFt összegű visszafizetési kötelezettség teljesítésére került sor. A feladatot ellátó két közszolgáltató Kft. az elszámolási összeg fedezetét beutalta önkormányzatunk részére. </w:t>
      </w:r>
    </w:p>
    <w:p w14:paraId="7A2EA98F" w14:textId="77777777" w:rsidR="002A346F" w:rsidRPr="00F14DC1" w:rsidRDefault="002A346F" w:rsidP="007B7B75">
      <w:pPr>
        <w:pStyle w:val="Listaszerbekezds"/>
        <w:ind w:left="0"/>
        <w:rPr>
          <w:rFonts w:ascii="Calibri" w:hAnsi="Calibri" w:cs="Calibri"/>
          <w:sz w:val="22"/>
          <w:szCs w:val="22"/>
        </w:rPr>
      </w:pPr>
    </w:p>
    <w:p w14:paraId="46EE67DF" w14:textId="77777777" w:rsidR="00500B0C" w:rsidRPr="004137CD" w:rsidRDefault="004137CD" w:rsidP="004137CD">
      <w:pPr>
        <w:ind w:left="360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2"/>
          <w:szCs w:val="22"/>
          <w:u w:val="single"/>
        </w:rPr>
        <w:t>c)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egyenleg: </w:t>
      </w:r>
      <w:r w:rsidR="00641FCE">
        <w:rPr>
          <w:rFonts w:ascii="Calibri" w:hAnsi="Calibri" w:cs="Calibri"/>
          <w:b/>
          <w:i/>
          <w:sz w:val="22"/>
          <w:szCs w:val="22"/>
          <w:u w:val="single"/>
        </w:rPr>
        <w:t>0</w:t>
      </w:r>
      <w:r w:rsidR="00500B0C" w:rsidRPr="004137CD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4313C25C" w14:textId="77777777" w:rsidR="004137CD" w:rsidRPr="00F14DC1" w:rsidRDefault="004137CD" w:rsidP="004137CD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8140FEC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4B3BC08" w14:textId="14B0F6D3" w:rsidR="00500B0C" w:rsidRPr="00F14DC1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F14DC1">
        <w:rPr>
          <w:rFonts w:ascii="Calibri" w:hAnsi="Calibri" w:cs="Calibri"/>
          <w:b/>
          <w:i/>
          <w:sz w:val="22"/>
          <w:szCs w:val="22"/>
        </w:rPr>
        <w:t>d)</w:t>
      </w:r>
      <w:r w:rsidR="00BF5DCF" w:rsidRPr="00F14DC1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i/>
          <w:sz w:val="22"/>
          <w:szCs w:val="22"/>
        </w:rPr>
        <w:t>A</w:t>
      </w:r>
      <w:r w:rsidRPr="00F14DC1">
        <w:rPr>
          <w:rFonts w:ascii="Calibri" w:hAnsi="Calibri" w:cs="Calibri"/>
          <w:sz w:val="22"/>
          <w:szCs w:val="22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működéshez</w:t>
      </w:r>
      <w:r w:rsidR="00E43772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és felhalmozáshoz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kapcsolódó</w:t>
      </w:r>
      <w:r w:rsidRPr="00F14DC1">
        <w:rPr>
          <w:rFonts w:ascii="Calibri" w:hAnsi="Calibri" w:cs="Calibri"/>
          <w:bCs/>
          <w:iCs/>
          <w:sz w:val="22"/>
          <w:szCs w:val="22"/>
        </w:rPr>
        <w:t xml:space="preserve"> – </w:t>
      </w:r>
      <w:r w:rsidRPr="00F14DC1">
        <w:rPr>
          <w:rFonts w:ascii="Calibri" w:hAnsi="Calibri" w:cs="Calibri"/>
          <w:sz w:val="22"/>
          <w:szCs w:val="22"/>
        </w:rPr>
        <w:t xml:space="preserve">jelen módosításban beemelésre kerülő - 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többletbevételek</w:t>
      </w:r>
      <w:r w:rsidRPr="00F14DC1">
        <w:rPr>
          <w:rFonts w:ascii="Calibri" w:hAnsi="Calibri" w:cs="Calibri"/>
          <w:sz w:val="22"/>
          <w:szCs w:val="22"/>
        </w:rPr>
        <w:t xml:space="preserve"> összege </w:t>
      </w:r>
      <w:r w:rsidR="00E43772" w:rsidRPr="00F14DC1">
        <w:rPr>
          <w:rFonts w:ascii="Calibri" w:hAnsi="Calibri" w:cs="Calibri"/>
          <w:sz w:val="22"/>
          <w:szCs w:val="22"/>
        </w:rPr>
        <w:t>mind</w:t>
      </w:r>
      <w:r w:rsidRPr="00F14DC1">
        <w:rPr>
          <w:rFonts w:ascii="Calibri" w:hAnsi="Calibri" w:cs="Calibri"/>
          <w:sz w:val="22"/>
          <w:szCs w:val="22"/>
        </w:rPr>
        <w:t xml:space="preserve">összesen  </w:t>
      </w:r>
      <w:r w:rsidR="00C44696">
        <w:rPr>
          <w:rFonts w:ascii="Calibri" w:hAnsi="Calibri" w:cs="Calibri"/>
          <w:sz w:val="22"/>
          <w:szCs w:val="22"/>
        </w:rPr>
        <w:t>1.001.453</w:t>
      </w:r>
      <w:r w:rsidRPr="0071674C">
        <w:rPr>
          <w:rFonts w:ascii="Calibri" w:hAnsi="Calibri" w:cs="Calibri"/>
          <w:sz w:val="22"/>
          <w:szCs w:val="22"/>
        </w:rPr>
        <w:t xml:space="preserve"> eFt.</w:t>
      </w:r>
      <w:r w:rsidRPr="00F14DC1">
        <w:rPr>
          <w:rFonts w:ascii="Calibri" w:hAnsi="Calibri" w:cs="Calibri"/>
          <w:sz w:val="22"/>
          <w:szCs w:val="22"/>
        </w:rPr>
        <w:t xml:space="preserve">  </w:t>
      </w:r>
    </w:p>
    <w:p w14:paraId="5E415CF1" w14:textId="77777777" w:rsidR="00500B0C" w:rsidRDefault="00500B0C" w:rsidP="00500B0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75877D49" w14:textId="39C31200" w:rsidR="00A860A3" w:rsidRDefault="00A860A3" w:rsidP="00A860A3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„Köztemetés költségeinek megtérüléséből”, „Köztemetés költségeinek megtérülés más önkormányzattól” és a „Köztemetés bevételéből” származó többletek a „Segély önkormányzati támogatásból” tételre kerültek beemelésre  </w:t>
      </w:r>
      <w:r>
        <w:rPr>
          <w:rFonts w:ascii="Calibri" w:hAnsi="Calibri" w:cs="Calibri"/>
          <w:sz w:val="22"/>
          <w:szCs w:val="22"/>
        </w:rPr>
        <w:t>8.247</w:t>
      </w:r>
      <w:r w:rsidRPr="00B42C61">
        <w:rPr>
          <w:rFonts w:ascii="Calibri" w:hAnsi="Calibri" w:cs="Calibri"/>
          <w:sz w:val="22"/>
          <w:szCs w:val="22"/>
        </w:rPr>
        <w:t xml:space="preserve"> eFt összegben.</w:t>
      </w:r>
    </w:p>
    <w:p w14:paraId="69DE4976" w14:textId="77777777" w:rsidR="00A860A3" w:rsidRPr="00B42C61" w:rsidRDefault="00A860A3" w:rsidP="00A860A3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59FCC0F8" w14:textId="3A2603DF" w:rsidR="00FC4817" w:rsidRPr="00B42C61" w:rsidRDefault="00FC4817" w:rsidP="00FC481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42C61">
        <w:rPr>
          <w:rFonts w:ascii="Calibri" w:hAnsi="Calibri" w:cs="Calibri"/>
          <w:sz w:val="22"/>
          <w:szCs w:val="22"/>
        </w:rPr>
        <w:t xml:space="preserve">A Közösségi Bérlakás Rendszer működéséhez kapcsolódó </w:t>
      </w:r>
      <w:r w:rsidR="00F44B2D">
        <w:rPr>
          <w:rFonts w:ascii="Calibri" w:hAnsi="Calibri" w:cs="Calibri"/>
          <w:sz w:val="22"/>
          <w:szCs w:val="22"/>
        </w:rPr>
        <w:t xml:space="preserve">lakbér </w:t>
      </w:r>
      <w:r w:rsidRPr="00B42C61">
        <w:rPr>
          <w:rFonts w:ascii="Calibri" w:hAnsi="Calibri" w:cs="Calibri"/>
          <w:sz w:val="22"/>
          <w:szCs w:val="22"/>
        </w:rPr>
        <w:t xml:space="preserve">bevétel összege, mely </w:t>
      </w:r>
      <w:r>
        <w:rPr>
          <w:rFonts w:ascii="Calibri" w:hAnsi="Calibri" w:cs="Calibri"/>
          <w:sz w:val="22"/>
          <w:szCs w:val="22"/>
        </w:rPr>
        <w:t>10.951</w:t>
      </w:r>
      <w:r w:rsidRPr="00B42C61">
        <w:rPr>
          <w:rFonts w:ascii="Calibri" w:hAnsi="Calibri" w:cs="Calibri"/>
          <w:sz w:val="22"/>
          <w:szCs w:val="22"/>
        </w:rPr>
        <w:t xml:space="preserve"> eFt beemelésre került a Közösségi Bérlakás Rendszer kiadási előirányzatára. </w:t>
      </w:r>
    </w:p>
    <w:p w14:paraId="023CADBA" w14:textId="77777777" w:rsidR="00B23509" w:rsidRDefault="00B23509" w:rsidP="00B235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CE17124" w14:textId="6E5E420F" w:rsidR="003622DB" w:rsidRPr="00B62487" w:rsidRDefault="00B23509" w:rsidP="00B62487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62487">
        <w:rPr>
          <w:rFonts w:ascii="Calibri" w:hAnsi="Calibri" w:cs="Calibri"/>
          <w:sz w:val="22"/>
          <w:szCs w:val="22"/>
        </w:rPr>
        <w:t xml:space="preserve">A „Biztosító térítése, egyéb kártérítés, kötbér” tételsoron </w:t>
      </w:r>
      <w:r w:rsidR="001916FD">
        <w:rPr>
          <w:rFonts w:ascii="Calibri" w:hAnsi="Calibri" w:cs="Calibri"/>
          <w:sz w:val="22"/>
          <w:szCs w:val="22"/>
        </w:rPr>
        <w:t>1.465</w:t>
      </w:r>
      <w:r w:rsidRPr="00B62487">
        <w:rPr>
          <w:rFonts w:ascii="Calibri" w:hAnsi="Calibri" w:cs="Calibri"/>
          <w:sz w:val="22"/>
          <w:szCs w:val="22"/>
        </w:rPr>
        <w:t xml:space="preserve"> eFt összegű </w:t>
      </w:r>
      <w:r w:rsidR="00E8771F" w:rsidRPr="00B62487">
        <w:rPr>
          <w:rFonts w:ascii="Calibri" w:hAnsi="Calibri" w:cs="Calibri"/>
          <w:sz w:val="22"/>
          <w:szCs w:val="22"/>
        </w:rPr>
        <w:t xml:space="preserve">többletbevétel </w:t>
      </w:r>
      <w:r w:rsidR="00B62487" w:rsidRPr="00B62487">
        <w:rPr>
          <w:rFonts w:ascii="Calibri" w:hAnsi="Calibri" w:cs="Calibri"/>
          <w:sz w:val="22"/>
          <w:szCs w:val="22"/>
        </w:rPr>
        <w:t xml:space="preserve"> </w:t>
      </w:r>
      <w:r w:rsidR="00E8771F" w:rsidRPr="00B62487">
        <w:rPr>
          <w:rFonts w:ascii="Calibri" w:hAnsi="Calibri" w:cs="Calibri"/>
          <w:sz w:val="22"/>
          <w:szCs w:val="22"/>
        </w:rPr>
        <w:t>került beemelésre</w:t>
      </w:r>
      <w:r w:rsidR="001916FD">
        <w:rPr>
          <w:rFonts w:ascii="Calibri" w:hAnsi="Calibri" w:cs="Calibri"/>
          <w:sz w:val="22"/>
          <w:szCs w:val="22"/>
        </w:rPr>
        <w:t>. Ezen összegből közvilágítási kandeláberek helyreállítása történt meg, így az „</w:t>
      </w:r>
      <w:r w:rsidR="00E8771F" w:rsidRPr="00B62487">
        <w:rPr>
          <w:rFonts w:ascii="Calibri" w:hAnsi="Calibri" w:cs="Calibri"/>
          <w:sz w:val="22"/>
          <w:szCs w:val="22"/>
        </w:rPr>
        <w:t xml:space="preserve"> </w:t>
      </w:r>
      <w:r w:rsidR="001916FD" w:rsidRPr="001916FD">
        <w:rPr>
          <w:rFonts w:ascii="Calibri" w:hAnsi="Calibri" w:cs="Calibri"/>
          <w:sz w:val="22"/>
          <w:szCs w:val="22"/>
        </w:rPr>
        <w:t>Út-híd fenntartási kiadások - Közvilágítási elemek karbantartása, kiegészítése</w:t>
      </w:r>
      <w:r w:rsidR="001916FD">
        <w:rPr>
          <w:rFonts w:ascii="Calibri" w:hAnsi="Calibri" w:cs="Calibri"/>
          <w:sz w:val="22"/>
          <w:szCs w:val="22"/>
        </w:rPr>
        <w:t xml:space="preserve">” tételsor előirányzata került megemelésre. </w:t>
      </w:r>
    </w:p>
    <w:p w14:paraId="1FBE513E" w14:textId="77777777" w:rsidR="00B62487" w:rsidRPr="00B62487" w:rsidRDefault="00B62487" w:rsidP="00B62487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33F75F0" w14:textId="6C904D4F" w:rsidR="0060684C" w:rsidRPr="00C72573" w:rsidRDefault="0044751D" w:rsidP="0044751D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C72573">
        <w:rPr>
          <w:rFonts w:ascii="Calibri" w:hAnsi="Calibri" w:cs="Calibri"/>
          <w:sz w:val="22"/>
          <w:szCs w:val="22"/>
        </w:rPr>
        <w:t xml:space="preserve">Rendezésre kerültek a „Viziközmű és szennyvízközmű használati díjbevételhez” kapcsolódó </w:t>
      </w:r>
      <w:r w:rsidR="00523F91">
        <w:rPr>
          <w:rFonts w:ascii="Calibri" w:hAnsi="Calibri" w:cs="Calibri"/>
          <w:sz w:val="22"/>
          <w:szCs w:val="22"/>
        </w:rPr>
        <w:t xml:space="preserve">bevételi és kiadási </w:t>
      </w:r>
      <w:r w:rsidRPr="00C72573">
        <w:rPr>
          <w:rFonts w:ascii="Calibri" w:hAnsi="Calibri" w:cs="Calibri"/>
          <w:sz w:val="22"/>
          <w:szCs w:val="22"/>
        </w:rPr>
        <w:t>elői</w:t>
      </w:r>
      <w:r w:rsidR="00C72573" w:rsidRPr="00C72573">
        <w:rPr>
          <w:rFonts w:ascii="Calibri" w:hAnsi="Calibri" w:cs="Calibri"/>
          <w:sz w:val="22"/>
          <w:szCs w:val="22"/>
        </w:rPr>
        <w:t xml:space="preserve">rányzatok </w:t>
      </w:r>
      <w:r w:rsidR="00523F91">
        <w:rPr>
          <w:rFonts w:ascii="Calibri" w:hAnsi="Calibri" w:cs="Calibri"/>
          <w:sz w:val="22"/>
          <w:szCs w:val="22"/>
        </w:rPr>
        <w:t>975.290</w:t>
      </w:r>
      <w:r w:rsidRPr="00C72573">
        <w:rPr>
          <w:rFonts w:ascii="Calibri" w:hAnsi="Calibri" w:cs="Calibri"/>
          <w:sz w:val="22"/>
          <w:szCs w:val="22"/>
        </w:rPr>
        <w:t xml:space="preserve"> eFt összegben.</w:t>
      </w:r>
    </w:p>
    <w:p w14:paraId="149C5DCB" w14:textId="77777777" w:rsidR="002C594F" w:rsidRDefault="002C594F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1F40447D" w14:textId="77777777" w:rsidR="00C44696" w:rsidRPr="00F14DC1" w:rsidRDefault="00C44696" w:rsidP="00C4469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E27F0">
        <w:rPr>
          <w:rFonts w:ascii="Calibri" w:hAnsi="Calibri" w:cs="Calibri"/>
          <w:sz w:val="22"/>
          <w:szCs w:val="22"/>
        </w:rPr>
        <w:t>Felhalmozási t</w:t>
      </w:r>
      <w:r>
        <w:rPr>
          <w:rFonts w:ascii="Calibri" w:hAnsi="Calibri" w:cs="Calibri"/>
          <w:sz w:val="22"/>
          <w:szCs w:val="22"/>
        </w:rPr>
        <w:t xml:space="preserve">öbbletbevétel a „Nyugdíjas Bérlők Háza befizetés” 5.500 eFt összege, mely a „Nyugdíjas Bérlők Háza - használatba vételi díj visszafizetése” kiadási előirányzatára került beemelésre. </w:t>
      </w:r>
    </w:p>
    <w:p w14:paraId="3742F866" w14:textId="77777777" w:rsidR="00C44696" w:rsidRDefault="00C44696" w:rsidP="002C594F">
      <w:pPr>
        <w:pStyle w:val="Listaszerbekezds"/>
        <w:rPr>
          <w:rFonts w:ascii="Calibri" w:hAnsi="Calibri" w:cs="Calibri"/>
          <w:sz w:val="22"/>
          <w:szCs w:val="22"/>
        </w:rPr>
      </w:pPr>
    </w:p>
    <w:p w14:paraId="64881034" w14:textId="705DB335" w:rsidR="00500B0C" w:rsidRPr="00F14DC1" w:rsidRDefault="0060684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lastRenderedPageBreak/>
        <w:t>d)egyenleg:</w:t>
      </w:r>
      <w:r w:rsidR="00C44696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0</w:t>
      </w:r>
      <w:r w:rsidR="00057C30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52E27D92" w14:textId="77777777" w:rsidR="00500B0C" w:rsidRPr="00F14DC1" w:rsidRDefault="00500B0C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8CD253" w14:textId="77777777" w:rsidR="00FC4CAB" w:rsidRDefault="00FC4CAB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00275E77" w14:textId="77777777" w:rsidR="00C44696" w:rsidRDefault="00C44696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4FDABAA0" w14:textId="77777777" w:rsidR="00C44696" w:rsidRPr="00F14DC1" w:rsidRDefault="00C44696" w:rsidP="00500B0C">
      <w:pPr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2CCA11CC" w14:textId="398DD5A0" w:rsidR="00500B0C" w:rsidRPr="004D5931" w:rsidRDefault="004D5931" w:rsidP="008227B9">
      <w:pPr>
        <w:pStyle w:val="Listaszerbekezds"/>
        <w:keepNext/>
        <w:numPr>
          <w:ilvl w:val="0"/>
          <w:numId w:val="15"/>
        </w:numPr>
        <w:jc w:val="both"/>
        <w:outlineLvl w:val="7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sz w:val="22"/>
          <w:szCs w:val="22"/>
          <w:u w:val="single"/>
        </w:rPr>
        <w:t>Szombathely Megyei Jogú Város Önkormányzata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 xml:space="preserve"> 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2024. évi költségvetésről szóló 8/2024. (III.5.) számúrendelet 10. § (4) bekezdésében foglaltak alapján történt p</w:t>
      </w:r>
      <w:r w:rsidR="00500B0C"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olgármesteri rendelkezések</w:t>
      </w:r>
      <w:r w:rsidRPr="004D5931">
        <w:rPr>
          <w:rFonts w:ascii="Calibri" w:hAnsi="Calibri" w:cs="Calibri"/>
          <w:b/>
          <w:bCs/>
          <w:i/>
          <w:sz w:val="22"/>
          <w:szCs w:val="22"/>
          <w:u w:val="single"/>
        </w:rPr>
        <w:t>:</w:t>
      </w:r>
    </w:p>
    <w:p w14:paraId="5F19932D" w14:textId="77777777" w:rsidR="00F14011" w:rsidRDefault="00F14011" w:rsidP="00500B0C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2239"/>
      </w:tblGrid>
      <w:tr w:rsidR="00500B0C" w:rsidRPr="00F14DC1" w14:paraId="72432AAB" w14:textId="77777777" w:rsidTr="00130E11">
        <w:trPr>
          <w:trHeight w:val="576"/>
        </w:trPr>
        <w:tc>
          <w:tcPr>
            <w:tcW w:w="6289" w:type="dxa"/>
            <w:tcBorders>
              <w:bottom w:val="single" w:sz="4" w:space="0" w:color="auto"/>
            </w:tcBorders>
            <w:shd w:val="clear" w:color="auto" w:fill="auto"/>
          </w:tcPr>
          <w:p w14:paraId="17F83117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Költségvetési előirányzat megnevezése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</w:tcPr>
          <w:p w14:paraId="277FF0BC" w14:textId="77777777" w:rsidR="00500B0C" w:rsidRPr="00F14DC1" w:rsidRDefault="00500B0C" w:rsidP="00500B0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</w:tc>
      </w:tr>
      <w:tr w:rsidR="00500B0C" w:rsidRPr="00F14DC1" w14:paraId="5E089321" w14:textId="77777777" w:rsidTr="00746BF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C8E22D" w14:textId="76A7C337" w:rsidR="00500B0C" w:rsidRPr="00C50D1D" w:rsidRDefault="00F24084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084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999C28" w14:textId="7CF415E6" w:rsidR="00500B0C" w:rsidRPr="00144257" w:rsidRDefault="00F24084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-5.000</w:t>
            </w:r>
          </w:p>
        </w:tc>
      </w:tr>
      <w:tr w:rsidR="00500B0C" w:rsidRPr="00F14DC1" w14:paraId="6BC8C166" w14:textId="77777777" w:rsidTr="00746BF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A0148B6" w14:textId="3328C477" w:rsidR="00500B0C" w:rsidRPr="00F14011" w:rsidRDefault="00F24084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24084">
              <w:rPr>
                <w:rFonts w:ascii="Calibri" w:hAnsi="Calibri" w:cs="Calibri"/>
                <w:sz w:val="22"/>
                <w:szCs w:val="22"/>
              </w:rPr>
              <w:t>Egyéb, más ágazathoz nem sorolható intézmények és feladatok kiadásai – Megyei Jogú Városok Szövetsége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E4F1AEC" w14:textId="35CA7095" w:rsidR="00500B0C" w:rsidRPr="00746BFE" w:rsidRDefault="00F24084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+5.000</w:t>
            </w:r>
          </w:p>
        </w:tc>
      </w:tr>
      <w:tr w:rsidR="00AD4DFE" w:rsidRPr="00F14DC1" w14:paraId="64D14DB6" w14:textId="77777777" w:rsidTr="00144257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B05507" w14:textId="48AB1E61" w:rsidR="00AD4DFE" w:rsidRPr="002E0A81" w:rsidRDefault="005079A1" w:rsidP="005079A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BAA177" w14:textId="02527152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-3.522</w:t>
            </w:r>
          </w:p>
        </w:tc>
      </w:tr>
      <w:tr w:rsidR="00AD4DFE" w:rsidRPr="00F14DC1" w14:paraId="2C5FD2FF" w14:textId="77777777" w:rsidTr="00144257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9F2625" w14:textId="12985D91" w:rsidR="00AD4DFE" w:rsidRPr="002E0A81" w:rsidRDefault="00CB6DA3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Önkormányzati felhalmozási kiadások – Északi iparterület – közművesítések finanszírozása, fejlesztések finanszírozása, tanulmányterv készítése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08729EB" w14:textId="4E9E169B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+3.522</w:t>
            </w:r>
          </w:p>
        </w:tc>
      </w:tr>
      <w:tr w:rsidR="00AD4DFE" w:rsidRPr="00F14DC1" w14:paraId="14CDFB6F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2E4412" w14:textId="3ABF70CA" w:rsidR="00AD4DFE" w:rsidRPr="002E0A81" w:rsidRDefault="005079A1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652A9" w14:textId="3351418E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-2.159</w:t>
            </w:r>
          </w:p>
        </w:tc>
      </w:tr>
      <w:tr w:rsidR="00AD4DFE" w:rsidRPr="00F14DC1" w14:paraId="767F7B20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33833A" w14:textId="4A897FEC" w:rsidR="00AD4DFE" w:rsidRPr="002E0A81" w:rsidRDefault="00CB6DA3" w:rsidP="00CB6D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Kommunális, városüzemeltetési és környezetvédelmi kiadások - Energiaközösség megvalósításának vizsgálata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3E20DB" w14:textId="18E5756D" w:rsidR="00AD4DFE" w:rsidRPr="002E0A81" w:rsidRDefault="00CB6DA3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E0A81">
              <w:rPr>
                <w:rFonts w:ascii="Calibri" w:hAnsi="Calibri" w:cs="Calibri"/>
                <w:sz w:val="22"/>
                <w:szCs w:val="22"/>
              </w:rPr>
              <w:t>+2.159</w:t>
            </w:r>
          </w:p>
        </w:tc>
      </w:tr>
      <w:tr w:rsidR="00AD4DFE" w:rsidRPr="00F14DC1" w14:paraId="3B89D5A0" w14:textId="77777777" w:rsidTr="00EF42E0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A36759" w14:textId="6D3CC426" w:rsidR="00AD4DFE" w:rsidRPr="00861631" w:rsidRDefault="00580979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Általános tartalék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C08A62" w14:textId="327CBC31" w:rsidR="00AD4DFE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-4.597</w:t>
            </w:r>
          </w:p>
        </w:tc>
      </w:tr>
      <w:tr w:rsidR="00AD4DFE" w:rsidRPr="00F14DC1" w14:paraId="455212BF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D53710" w14:textId="660D7285" w:rsidR="00AD4DFE" w:rsidRPr="00861631" w:rsidRDefault="00580979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AE35C8" w14:textId="087F1697" w:rsidR="00AD4DFE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-403</w:t>
            </w:r>
          </w:p>
        </w:tc>
      </w:tr>
      <w:tr w:rsidR="003245A9" w:rsidRPr="00F14DC1" w14:paraId="3EA429AC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890D3" w14:textId="20E228A4" w:rsidR="003245A9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Derkovits Városrészért Egyesület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568C040" w14:textId="57F65652" w:rsidR="003245A9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+2.000</w:t>
            </w:r>
          </w:p>
        </w:tc>
      </w:tr>
      <w:tr w:rsidR="00EF42E0" w:rsidRPr="00F14DC1" w14:paraId="34B4B321" w14:textId="77777777" w:rsidTr="00580979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60219" w14:textId="50381859" w:rsidR="00EF42E0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Gyöngyöshermán-Szentkirályi Polgári Kör</w:t>
            </w:r>
            <w:r w:rsidR="005530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346C4">
              <w:rPr>
                <w:rFonts w:ascii="Calibri" w:hAnsi="Calibri" w:cs="Calibri"/>
                <w:sz w:val="22"/>
                <w:szCs w:val="22"/>
              </w:rPr>
              <w:t>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3AB7BAF" w14:textId="6A280F28" w:rsidR="00EF42E0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+1.000</w:t>
            </w:r>
          </w:p>
        </w:tc>
      </w:tr>
      <w:tr w:rsidR="00EF42E0" w:rsidRPr="00F14DC1" w14:paraId="2A25EE4F" w14:textId="77777777" w:rsidTr="00EF42E0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48C891" w14:textId="466F9AAD" w:rsidR="00EF42E0" w:rsidRPr="00861631" w:rsidRDefault="004D2480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Szombathelyi Futóklub Szabadidő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Sport</w:t>
            </w:r>
            <w:r w:rsidRPr="00861631">
              <w:rPr>
                <w:rFonts w:ascii="Calibri" w:hAnsi="Calibri" w:cs="Calibri"/>
                <w:sz w:val="22"/>
                <w:szCs w:val="22"/>
              </w:rPr>
              <w:t xml:space="preserve"> Egyesület</w:t>
            </w:r>
            <w:r w:rsidR="00C346C4">
              <w:rPr>
                <w:rFonts w:ascii="Calibri" w:hAnsi="Calibri" w:cs="Calibri"/>
                <w:sz w:val="22"/>
                <w:szCs w:val="22"/>
              </w:rPr>
              <w:t xml:space="preserve"> támogatása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A431267" w14:textId="12796DD6" w:rsidR="00EF42E0" w:rsidRPr="00861631" w:rsidRDefault="00223885" w:rsidP="00500B0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61631">
              <w:rPr>
                <w:rFonts w:ascii="Calibri" w:hAnsi="Calibri" w:cs="Calibri"/>
                <w:sz w:val="22"/>
                <w:szCs w:val="22"/>
              </w:rPr>
              <w:t>+2.000</w:t>
            </w:r>
          </w:p>
        </w:tc>
      </w:tr>
      <w:tr w:rsidR="00422F90" w:rsidRPr="00F14DC1" w14:paraId="1A955A55" w14:textId="77777777" w:rsidTr="00EF42E0">
        <w:tc>
          <w:tcPr>
            <w:tcW w:w="6289" w:type="dxa"/>
            <w:tcBorders>
              <w:top w:val="single" w:sz="12" w:space="0" w:color="auto"/>
            </w:tcBorders>
            <w:shd w:val="clear" w:color="auto" w:fill="auto"/>
          </w:tcPr>
          <w:p w14:paraId="0C340DF7" w14:textId="1D713411" w:rsidR="00EF42E0" w:rsidRPr="00412748" w:rsidRDefault="00AA483E" w:rsidP="00500B0C">
            <w:pPr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Kulturális ágazat, média kiadásai - Könyvkiadás</w:t>
            </w:r>
            <w:r w:rsidRPr="0041274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239" w:type="dxa"/>
            <w:tcBorders>
              <w:top w:val="single" w:sz="12" w:space="0" w:color="auto"/>
            </w:tcBorders>
            <w:shd w:val="clear" w:color="auto" w:fill="auto"/>
          </w:tcPr>
          <w:p w14:paraId="534509CA" w14:textId="478B4FFB" w:rsidR="005F260E" w:rsidRPr="00412748" w:rsidRDefault="00AA483E" w:rsidP="00EF42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-250</w:t>
            </w:r>
          </w:p>
        </w:tc>
      </w:tr>
      <w:tr w:rsidR="0003036E" w:rsidRPr="00F14DC1" w14:paraId="300E5DA1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51E367" w14:textId="21BE263E" w:rsidR="0003036E" w:rsidRPr="00412748" w:rsidRDefault="00AA483E" w:rsidP="005F260E">
            <w:pPr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Kulturális ágazat, média kiadásai – Savaria Múzeum - Önkormányzati támogatásból fedezett kiadás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56A84B" w14:textId="77777777" w:rsidR="0003036E" w:rsidRPr="00412748" w:rsidRDefault="0003036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608D8403" w14:textId="5BB02CE5" w:rsidR="00AA483E" w:rsidRPr="00412748" w:rsidRDefault="00AA483E" w:rsidP="005F260E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12748">
              <w:rPr>
                <w:rFonts w:ascii="Calibri" w:hAnsi="Calibri" w:cs="Calibri"/>
                <w:sz w:val="22"/>
                <w:szCs w:val="22"/>
              </w:rPr>
              <w:t>+250</w:t>
            </w:r>
          </w:p>
        </w:tc>
      </w:tr>
      <w:tr w:rsidR="007874D6" w:rsidRPr="007874D6" w14:paraId="60B57042" w14:textId="77777777" w:rsidTr="0003036E">
        <w:tc>
          <w:tcPr>
            <w:tcW w:w="6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2AB8FD" w14:textId="3EBBE091" w:rsidR="00AC331A" w:rsidRPr="007874D6" w:rsidRDefault="00AC331A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Tartalékok- Közétkeztetési rezsikulcs emeléséből adódó többletkiadások fedezetére</w:t>
            </w:r>
          </w:p>
        </w:tc>
        <w:tc>
          <w:tcPr>
            <w:tcW w:w="22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0E35D6" w14:textId="77777777" w:rsidR="00AC331A" w:rsidRPr="007874D6" w:rsidRDefault="00AC331A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953D8EB" w14:textId="07FBAE4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-7.783</w:t>
            </w:r>
          </w:p>
        </w:tc>
      </w:tr>
      <w:tr w:rsidR="007874D6" w:rsidRPr="007874D6" w14:paraId="15BBACFE" w14:textId="77777777" w:rsidTr="00AC331A">
        <w:tc>
          <w:tcPr>
            <w:tcW w:w="6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E54F3" w14:textId="319DB432" w:rsidR="00AC331A" w:rsidRPr="007874D6" w:rsidRDefault="004353A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 xml:space="preserve">Önkormányzati felhalmozási kiadások - </w:t>
            </w:r>
            <w:r w:rsidR="00277B4D" w:rsidRPr="007874D6">
              <w:rPr>
                <w:rFonts w:ascii="Calibri" w:hAnsi="Calibri" w:cs="Calibri"/>
                <w:sz w:val="22"/>
                <w:szCs w:val="22"/>
              </w:rPr>
              <w:t>Pénzeszközátadás – Árkádia Üzletház Társasház részére a Dolgozók útja 1/A. előtt buszmegálló felújításához nyújtott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4E97B" w14:textId="77777777" w:rsidR="00AC331A" w:rsidRPr="007874D6" w:rsidRDefault="00AC331A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FDE15E" w14:textId="459D519A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+3.783</w:t>
            </w:r>
          </w:p>
        </w:tc>
      </w:tr>
      <w:tr w:rsidR="007874D6" w:rsidRPr="007874D6" w14:paraId="6228C622" w14:textId="77777777" w:rsidTr="0003036E">
        <w:tc>
          <w:tcPr>
            <w:tcW w:w="6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BA0795B" w14:textId="056668D4" w:rsidR="00AC331A" w:rsidRPr="007874D6" w:rsidRDefault="004353A2" w:rsidP="00C44696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 xml:space="preserve">Önkormányzati felhalmozási kiadások - </w:t>
            </w:r>
            <w:r w:rsidR="00277B4D" w:rsidRPr="007874D6">
              <w:rPr>
                <w:rFonts w:ascii="Calibri" w:hAnsi="Calibri" w:cs="Calibri"/>
                <w:sz w:val="22"/>
                <w:szCs w:val="22"/>
              </w:rPr>
              <w:t>Pénzeszközátadás – Kukullói Kertbarátok Társasága részére külterületi utak burkolat kialakításához és karbantartáshoz nyújtott támogatás</w:t>
            </w:r>
          </w:p>
        </w:tc>
        <w:tc>
          <w:tcPr>
            <w:tcW w:w="22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D77815" w14:textId="7777777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8197D04" w14:textId="77777777" w:rsidR="00277B4D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65C68AE" w14:textId="6626C326" w:rsidR="00AC331A" w:rsidRPr="007874D6" w:rsidRDefault="00277B4D" w:rsidP="00AC331A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874D6">
              <w:rPr>
                <w:rFonts w:ascii="Calibri" w:hAnsi="Calibri" w:cs="Calibri"/>
                <w:sz w:val="22"/>
                <w:szCs w:val="22"/>
              </w:rPr>
              <w:t>+4.000</w:t>
            </w:r>
          </w:p>
        </w:tc>
      </w:tr>
    </w:tbl>
    <w:p w14:paraId="706246D2" w14:textId="77777777" w:rsidR="00FE78E1" w:rsidRPr="00F14DC1" w:rsidRDefault="00FE78E1" w:rsidP="00500B0C">
      <w:pPr>
        <w:tabs>
          <w:tab w:val="left" w:pos="108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543E140" w14:textId="012ADC7A" w:rsidR="00500B0C" w:rsidRPr="008227B9" w:rsidRDefault="008227B9" w:rsidP="008227B9">
      <w:pPr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e)</w:t>
      </w:r>
      <w:r w:rsidR="00500B0C" w:rsidRPr="008227B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egyenleg: 0 eFt</w:t>
      </w:r>
    </w:p>
    <w:p w14:paraId="616279E6" w14:textId="77777777" w:rsidR="00C44696" w:rsidRPr="00C44696" w:rsidRDefault="00C44696" w:rsidP="00C44696">
      <w:pPr>
        <w:pStyle w:val="Listaszerbekezds"/>
        <w:tabs>
          <w:tab w:val="left" w:pos="1080"/>
        </w:tabs>
        <w:ind w:left="720"/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65D5A7C2" w14:textId="77777777" w:rsidR="00295143" w:rsidRPr="00112A39" w:rsidRDefault="00295143" w:rsidP="00295143">
      <w:p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112A39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 Ágazati kiadásokból, polgármesteri keretből történt átcsoportosítások:</w:t>
      </w:r>
    </w:p>
    <w:p w14:paraId="509199F0" w14:textId="77777777" w:rsidR="00295143" w:rsidRDefault="00295143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4CC82126" w14:textId="7E319F54" w:rsidR="00BA3AAF" w:rsidRPr="001811A6" w:rsidRDefault="00BA3AAF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lastRenderedPageBreak/>
        <w:t xml:space="preserve">A Kulturális, Oktatási és Civil Bizottság 40/2024. (III.26.)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alapján az 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>„O</w:t>
      </w:r>
      <w:r w:rsidRPr="001811A6">
        <w:rPr>
          <w:rFonts w:ascii="Calibri" w:hAnsi="Calibri" w:cs="Calibri"/>
          <w:bCs/>
          <w:iCs/>
          <w:sz w:val="22"/>
          <w:szCs w:val="22"/>
        </w:rPr>
        <w:t>ktatási ágazat</w:t>
      </w:r>
      <w:r w:rsidR="00C52053" w:rsidRPr="001811A6">
        <w:rPr>
          <w:rFonts w:ascii="Calibri" w:hAnsi="Calibri" w:cs="Calibri"/>
          <w:bCs/>
          <w:iCs/>
          <w:sz w:val="22"/>
          <w:szCs w:val="22"/>
        </w:rPr>
        <w:t xml:space="preserve"> - 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Önkormányzati napközis tábor megszervezése” tételsor 10.000 eFt összegű előirányzata átcsoportosításra került a Köznevelési GAMESZ költségvetésébe a határozatban foglaltaknak megfelelően, a nyári napközis tábor megszervezéséhez szükséges kiadások fedezetének biztosítása érdekében.  </w:t>
      </w:r>
    </w:p>
    <w:p w14:paraId="586F15D2" w14:textId="77777777" w:rsidR="00BA3AAF" w:rsidRDefault="00BA3AAF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CB35519" w14:textId="77777777" w:rsidR="00991494" w:rsidRDefault="00991494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CD82CA1" w14:textId="77777777" w:rsidR="00991494" w:rsidRDefault="00991494" w:rsidP="00BA3AAF">
      <w:pPr>
        <w:ind w:left="360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626EA04" w14:textId="5AEF59DD" w:rsidR="00C52053" w:rsidRPr="001811A6" w:rsidRDefault="00C52053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Kulturális, Oktatási és Civil Bizottság 44/2024. (III.26.) </w:t>
      </w:r>
      <w:r w:rsidR="001811A6" w:rsidRPr="001811A6">
        <w:rPr>
          <w:rFonts w:ascii="Calibri" w:hAnsi="Calibri" w:cs="Calibri"/>
          <w:bCs/>
          <w:iCs/>
          <w:sz w:val="22"/>
          <w:szCs w:val="22"/>
        </w:rPr>
        <w:t>KOCB</w:t>
      </w:r>
      <w:r w:rsidRPr="001811A6">
        <w:rPr>
          <w:rFonts w:ascii="Calibri" w:hAnsi="Calibri" w:cs="Calibri"/>
          <w:bCs/>
          <w:iCs/>
          <w:sz w:val="22"/>
          <w:szCs w:val="22"/>
        </w:rPr>
        <w:t xml:space="preserve"> számú határozata alapján a „Kulturális ágazat, média kiadásai - Városi nagyrendezvények” 30.000 eFt összegű előirányzata átcsoportosításra került a feladatot ellátó AGORA Savaria Kulturális és Médiaközpont Nkft. támogatási előirányzatába.</w:t>
      </w:r>
    </w:p>
    <w:p w14:paraId="346EC0B0" w14:textId="7DEC852C" w:rsidR="00C52053" w:rsidRDefault="00C52053" w:rsidP="00C52053">
      <w:pPr>
        <w:ind w:left="360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76703D2C" w14:textId="75545CA4" w:rsidR="00C52053" w:rsidRPr="001811A6" w:rsidRDefault="00C80839" w:rsidP="001811A6">
      <w:pPr>
        <w:pStyle w:val="Listaszerbekezds"/>
        <w:numPr>
          <w:ilvl w:val="0"/>
          <w:numId w:val="13"/>
        </w:numPr>
        <w:jc w:val="both"/>
        <w:rPr>
          <w:rFonts w:ascii="Calibri" w:hAnsi="Calibri" w:cs="Calibri"/>
          <w:bCs/>
          <w:iCs/>
          <w:sz w:val="22"/>
          <w:szCs w:val="22"/>
        </w:rPr>
      </w:pPr>
      <w:r w:rsidRPr="001811A6">
        <w:rPr>
          <w:rFonts w:ascii="Calibri" w:hAnsi="Calibri" w:cs="Calibri"/>
          <w:bCs/>
          <w:iCs/>
          <w:sz w:val="22"/>
          <w:szCs w:val="22"/>
        </w:rPr>
        <w:t xml:space="preserve">A Szociális és Lakás Bizottság 54/2024. (III.27.) SzLB számú határozata alapján a „Segély önkormányzati támogatásból” tételsorról 200 eFt átcsoportosításra került a HÁROFIT Közhasznú Egyesület – Családok húsvéti ajándékozása” tételsorra. </w:t>
      </w:r>
    </w:p>
    <w:p w14:paraId="2C0CFF48" w14:textId="77777777" w:rsidR="00BA3AAF" w:rsidRPr="00F14DC1" w:rsidRDefault="00BA3AAF" w:rsidP="00500B0C">
      <w:pPr>
        <w:ind w:left="360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F4DACB8" w14:textId="77777777" w:rsidR="0090196C" w:rsidRPr="00F14DC1" w:rsidRDefault="0090196C" w:rsidP="00DD3C5E">
      <w:pPr>
        <w:ind w:left="360"/>
        <w:jc w:val="both"/>
        <w:rPr>
          <w:rFonts w:ascii="Calibri" w:hAnsi="Calibri" w:cs="Calibri"/>
          <w:bCs/>
          <w:iCs/>
          <w:color w:val="FF0000"/>
          <w:sz w:val="22"/>
          <w:szCs w:val="22"/>
        </w:rPr>
      </w:pPr>
    </w:p>
    <w:p w14:paraId="51E7E490" w14:textId="77777777" w:rsidR="00295143" w:rsidRPr="00F14DC1" w:rsidRDefault="00295143" w:rsidP="0090196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f)</w:t>
      </w:r>
      <w:r w:rsid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egyenleg</w:t>
      </w:r>
      <w:r w:rsidRPr="0090196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: 0</w:t>
      </w: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 eFt</w:t>
      </w:r>
    </w:p>
    <w:p w14:paraId="48383A5C" w14:textId="77777777" w:rsidR="007154D9" w:rsidRDefault="007154D9" w:rsidP="00FB41D2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5543DD" w14:textId="77777777" w:rsidR="00500B0C" w:rsidRPr="00F14DC1" w:rsidRDefault="00295143" w:rsidP="00500B0C">
      <w:pPr>
        <w:keepNext/>
        <w:jc w:val="both"/>
        <w:outlineLvl w:val="7"/>
        <w:rPr>
          <w:rFonts w:ascii="Calibri" w:hAnsi="Calibri" w:cs="Calibri"/>
          <w:b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i/>
          <w:iCs/>
          <w:sz w:val="22"/>
          <w:szCs w:val="22"/>
          <w:u w:val="single"/>
        </w:rPr>
        <w:t>) Egyéb átcsoportosítások:</w:t>
      </w:r>
    </w:p>
    <w:p w14:paraId="36196946" w14:textId="77777777" w:rsidR="00FB41D2" w:rsidRDefault="00FB41D2" w:rsidP="00B13601">
      <w:pPr>
        <w:jc w:val="both"/>
        <w:rPr>
          <w:rFonts w:ascii="Calibri" w:hAnsi="Calibri" w:cs="Calibri"/>
          <w:sz w:val="22"/>
          <w:szCs w:val="22"/>
        </w:rPr>
      </w:pPr>
    </w:p>
    <w:p w14:paraId="07E8832A" w14:textId="6B62C142" w:rsidR="00FB41D2" w:rsidRDefault="00FB41D2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  <w:r w:rsidRPr="00FB41D2">
        <w:rPr>
          <w:rFonts w:ascii="Calibri" w:hAnsi="Calibri" w:cs="Calibri"/>
          <w:sz w:val="22"/>
          <w:szCs w:val="22"/>
        </w:rPr>
        <w:t xml:space="preserve">Az átcsoportosítás keretében egyenleget nem érintő változások kerültek végrehajtásra, melyet szakmai indokok támasztanak alá, továbbá technikai jellegűek. </w:t>
      </w:r>
    </w:p>
    <w:p w14:paraId="7DD70C2B" w14:textId="77777777" w:rsidR="002115E8" w:rsidRDefault="002115E8" w:rsidP="00241880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4DA9CE12" w14:textId="2E636829" w:rsidR="002115E8" w:rsidRPr="006D7934" w:rsidRDefault="002115E8" w:rsidP="00AE7DB8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6D7934">
        <w:rPr>
          <w:rFonts w:ascii="Calibri" w:hAnsi="Calibri" w:cs="Calibri"/>
          <w:sz w:val="22"/>
          <w:szCs w:val="22"/>
        </w:rPr>
        <w:lastRenderedPageBreak/>
        <w:t xml:space="preserve">A </w:t>
      </w:r>
      <w:r w:rsidR="004D76C4">
        <w:rPr>
          <w:rFonts w:ascii="Calibri" w:hAnsi="Calibri" w:cs="Calibri"/>
          <w:sz w:val="22"/>
          <w:szCs w:val="22"/>
        </w:rPr>
        <w:t>2023</w:t>
      </w:r>
      <w:r w:rsidR="00DC4190">
        <w:rPr>
          <w:rFonts w:ascii="Calibri" w:hAnsi="Calibri" w:cs="Calibri"/>
          <w:sz w:val="22"/>
          <w:szCs w:val="22"/>
        </w:rPr>
        <w:t>/2024</w:t>
      </w:r>
      <w:r w:rsidR="004D76C4">
        <w:rPr>
          <w:rFonts w:ascii="Calibri" w:hAnsi="Calibri" w:cs="Calibri"/>
          <w:sz w:val="22"/>
          <w:szCs w:val="22"/>
        </w:rPr>
        <w:t>.</w:t>
      </w:r>
      <w:r w:rsidR="00DC4190">
        <w:rPr>
          <w:rFonts w:ascii="Calibri" w:hAnsi="Calibri" w:cs="Calibri"/>
          <w:sz w:val="22"/>
          <w:szCs w:val="22"/>
        </w:rPr>
        <w:t xml:space="preserve"> tanév téli és tavaszi szüneteiben történt étkeztetések elszámolásai alapján</w:t>
      </w:r>
      <w:r w:rsidR="004D76C4">
        <w:rPr>
          <w:rFonts w:ascii="Calibri" w:hAnsi="Calibri" w:cs="Calibri"/>
          <w:sz w:val="22"/>
          <w:szCs w:val="22"/>
        </w:rPr>
        <w:t xml:space="preserve"> </w:t>
      </w:r>
      <w:r w:rsidRPr="006D7934">
        <w:rPr>
          <w:rFonts w:ascii="Calibri" w:hAnsi="Calibri" w:cs="Calibri"/>
          <w:sz w:val="22"/>
          <w:szCs w:val="22"/>
        </w:rPr>
        <w:t xml:space="preserve">a „Szünidei gyermekétkeztetés” tételsorról </w:t>
      </w:r>
      <w:r w:rsidR="00DC4190">
        <w:rPr>
          <w:rFonts w:ascii="Calibri" w:hAnsi="Calibri" w:cs="Calibri"/>
          <w:sz w:val="22"/>
          <w:szCs w:val="22"/>
        </w:rPr>
        <w:t>674</w:t>
      </w:r>
      <w:r w:rsidRPr="006D7934">
        <w:rPr>
          <w:rFonts w:ascii="Calibri" w:hAnsi="Calibri" w:cs="Calibri"/>
          <w:sz w:val="22"/>
          <w:szCs w:val="22"/>
        </w:rPr>
        <w:t xml:space="preserve"> eFt összegű előirányzat átcsoportosításra került a feladatot ellátó Pálos Károly Szociális Szolgáltató Központ és Gyermekjóléti Szolgálat intézmény költségvetésébe.</w:t>
      </w:r>
    </w:p>
    <w:p w14:paraId="7DFCA8D6" w14:textId="77777777" w:rsidR="00372CB4" w:rsidRPr="00F14DC1" w:rsidRDefault="00372CB4" w:rsidP="00500B0C">
      <w:pPr>
        <w:ind w:left="426"/>
        <w:jc w:val="both"/>
        <w:rPr>
          <w:rFonts w:ascii="Calibri" w:hAnsi="Calibri" w:cs="Calibri"/>
          <w:sz w:val="22"/>
          <w:szCs w:val="22"/>
        </w:rPr>
      </w:pPr>
    </w:p>
    <w:p w14:paraId="60E61DFD" w14:textId="1CE729FD" w:rsidR="00500B0C" w:rsidRPr="007F7BF8" w:rsidRDefault="00500B0C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B13601">
        <w:rPr>
          <w:rFonts w:ascii="Calibri" w:hAnsi="Calibri" w:cs="Calibri"/>
          <w:sz w:val="22"/>
          <w:szCs w:val="22"/>
        </w:rPr>
        <w:t>A pénzügy</w:t>
      </w:r>
      <w:r w:rsidR="003F25A1" w:rsidRPr="00B13601">
        <w:rPr>
          <w:rFonts w:ascii="Calibri" w:hAnsi="Calibri" w:cs="Calibri"/>
          <w:sz w:val="22"/>
          <w:szCs w:val="22"/>
        </w:rPr>
        <w:t>i</w:t>
      </w:r>
      <w:r w:rsidRPr="00B13601">
        <w:rPr>
          <w:rFonts w:ascii="Calibri" w:hAnsi="Calibri" w:cs="Calibri"/>
          <w:sz w:val="22"/>
          <w:szCs w:val="22"/>
        </w:rPr>
        <w:t xml:space="preserve"> mérlegben tartalékként szerepeltetett „</w:t>
      </w:r>
      <w:r w:rsidR="003F25A1" w:rsidRPr="00B13601">
        <w:rPr>
          <w:rFonts w:ascii="Calibri" w:hAnsi="Calibri" w:cs="Calibri"/>
          <w:sz w:val="22"/>
          <w:szCs w:val="22"/>
        </w:rPr>
        <w:t>Tartalék</w:t>
      </w:r>
      <w:r w:rsidR="00B13601">
        <w:rPr>
          <w:rFonts w:ascii="Calibri" w:hAnsi="Calibri" w:cs="Calibri"/>
          <w:sz w:val="22"/>
          <w:szCs w:val="22"/>
        </w:rPr>
        <w:t>ok</w:t>
      </w:r>
      <w:r w:rsidR="003F25A1" w:rsidRPr="00B13601">
        <w:rPr>
          <w:rFonts w:ascii="Calibri" w:hAnsi="Calibri" w:cs="Calibri"/>
          <w:sz w:val="22"/>
          <w:szCs w:val="22"/>
        </w:rPr>
        <w:t xml:space="preserve"> - </w:t>
      </w:r>
      <w:r w:rsidR="00B13601" w:rsidRPr="00B13601">
        <w:rPr>
          <w:rFonts w:ascii="Calibri" w:hAnsi="Calibri" w:cs="Calibri"/>
          <w:sz w:val="22"/>
          <w:szCs w:val="22"/>
        </w:rPr>
        <w:t>Közművelődési kiegészítő támogatás - Berzsenyi D. Könyvtár</w:t>
      </w:r>
      <w:r w:rsidR="003F25A1" w:rsidRPr="00B13601">
        <w:rPr>
          <w:rFonts w:ascii="Calibri" w:hAnsi="Calibri" w:cs="Calibri"/>
          <w:sz w:val="22"/>
          <w:szCs w:val="22"/>
        </w:rPr>
        <w:t>”</w:t>
      </w:r>
      <w:r w:rsidR="00350AD8">
        <w:rPr>
          <w:rFonts w:ascii="Calibri" w:hAnsi="Calibri" w:cs="Calibri"/>
          <w:sz w:val="22"/>
          <w:szCs w:val="22"/>
        </w:rPr>
        <w:t xml:space="preserve"> 142.713 </w:t>
      </w:r>
      <w:r w:rsidRPr="00B13601">
        <w:rPr>
          <w:rFonts w:ascii="Calibri" w:hAnsi="Calibri" w:cs="Calibri"/>
          <w:sz w:val="22"/>
          <w:szCs w:val="22"/>
        </w:rPr>
        <w:t>eFt összege átcsoportosításra került a pály</w:t>
      </w:r>
      <w:r w:rsidR="00FB41D2" w:rsidRPr="00B13601">
        <w:rPr>
          <w:rFonts w:ascii="Calibri" w:hAnsi="Calibri" w:cs="Calibri"/>
          <w:sz w:val="22"/>
          <w:szCs w:val="22"/>
        </w:rPr>
        <w:t>ázat címzettjének a Berzsenyi Dániel</w:t>
      </w:r>
      <w:r w:rsidRPr="00B13601">
        <w:rPr>
          <w:rFonts w:ascii="Calibri" w:hAnsi="Calibri" w:cs="Calibri"/>
          <w:sz w:val="22"/>
          <w:szCs w:val="22"/>
        </w:rPr>
        <w:t xml:space="preserve"> Könyvtárnak a működési és felhalmozási kiadási előirányzatai közé. </w:t>
      </w:r>
    </w:p>
    <w:p w14:paraId="022F4348" w14:textId="77777777" w:rsidR="007F7BF8" w:rsidRPr="007F7BF8" w:rsidRDefault="007F7BF8" w:rsidP="007F7BF8">
      <w:pPr>
        <w:ind w:left="72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71963AD" w14:textId="01111244" w:rsidR="009704AD" w:rsidRPr="00C731E2" w:rsidRDefault="002E18AA" w:rsidP="00AE7DB8">
      <w:pPr>
        <w:numPr>
          <w:ilvl w:val="0"/>
          <w:numId w:val="8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3C03C4">
        <w:rPr>
          <w:rFonts w:ascii="Calibri" w:hAnsi="Calibri" w:cs="Calibri"/>
          <w:sz w:val="22"/>
          <w:szCs w:val="22"/>
        </w:rPr>
        <w:t xml:space="preserve">A </w:t>
      </w:r>
      <w:r w:rsidR="009704AD" w:rsidRPr="003C03C4">
        <w:rPr>
          <w:rFonts w:ascii="Calibri" w:hAnsi="Calibri" w:cs="Calibri"/>
          <w:sz w:val="22"/>
          <w:szCs w:val="22"/>
        </w:rPr>
        <w:t>pénzügyi mérlegben tartalékként szerepeltetett „Tartalék -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>kulturális bérpótlék év közbeni biztosítására központi támogatásból”</w:t>
      </w:r>
      <w:r w:rsidRPr="003C03C4">
        <w:rPr>
          <w:rFonts w:ascii="Calibri" w:hAnsi="Calibri" w:cs="Calibri"/>
          <w:sz w:val="22"/>
          <w:szCs w:val="22"/>
        </w:rPr>
        <w:t xml:space="preserve"> </w:t>
      </w:r>
      <w:r w:rsidR="009704AD" w:rsidRPr="003C03C4">
        <w:rPr>
          <w:rFonts w:ascii="Calibri" w:hAnsi="Calibri" w:cs="Calibri"/>
          <w:sz w:val="22"/>
          <w:szCs w:val="22"/>
        </w:rPr>
        <w:t>tételsorról 311.9</w:t>
      </w:r>
      <w:r w:rsidR="004F2D65" w:rsidRPr="003C03C4">
        <w:rPr>
          <w:rFonts w:ascii="Calibri" w:hAnsi="Calibri" w:cs="Calibri"/>
          <w:sz w:val="22"/>
          <w:szCs w:val="22"/>
        </w:rPr>
        <w:t>54</w:t>
      </w:r>
      <w:r w:rsidR="009704AD" w:rsidRPr="003C03C4">
        <w:rPr>
          <w:rFonts w:ascii="Calibri" w:hAnsi="Calibri" w:cs="Calibri"/>
          <w:sz w:val="22"/>
          <w:szCs w:val="22"/>
        </w:rPr>
        <w:t xml:space="preserve"> eFt összeg átcsoporto</w:t>
      </w:r>
      <w:r w:rsidRPr="003C03C4">
        <w:rPr>
          <w:rFonts w:ascii="Calibri" w:hAnsi="Calibri" w:cs="Calibri"/>
          <w:sz w:val="22"/>
          <w:szCs w:val="22"/>
        </w:rPr>
        <w:t>sításra került a 202</w:t>
      </w:r>
      <w:r w:rsidR="00FC4CAB" w:rsidRPr="003C03C4">
        <w:rPr>
          <w:rFonts w:ascii="Calibri" w:hAnsi="Calibri" w:cs="Calibri"/>
          <w:sz w:val="22"/>
          <w:szCs w:val="22"/>
        </w:rPr>
        <w:t>4</w:t>
      </w:r>
      <w:r w:rsidRPr="003C03C4">
        <w:rPr>
          <w:rFonts w:ascii="Calibri" w:hAnsi="Calibri" w:cs="Calibri"/>
          <w:sz w:val="22"/>
          <w:szCs w:val="22"/>
        </w:rPr>
        <w:t xml:space="preserve">. </w:t>
      </w:r>
      <w:r w:rsidR="009704AD" w:rsidRPr="003C03C4">
        <w:rPr>
          <w:rFonts w:ascii="Calibri" w:hAnsi="Calibri" w:cs="Calibri"/>
          <w:sz w:val="22"/>
          <w:szCs w:val="22"/>
        </w:rPr>
        <w:t>évi kulturális ágazatot érintő bértámogatás fedezeté</w:t>
      </w:r>
      <w:r w:rsidRPr="003C03C4">
        <w:rPr>
          <w:rFonts w:ascii="Calibri" w:hAnsi="Calibri" w:cs="Calibri"/>
          <w:sz w:val="22"/>
          <w:szCs w:val="22"/>
        </w:rPr>
        <w:t xml:space="preserve">re az alábbi </w:t>
      </w:r>
      <w:r w:rsidR="00652DCD" w:rsidRPr="003C03C4">
        <w:rPr>
          <w:rFonts w:ascii="Calibri" w:hAnsi="Calibri" w:cs="Calibri"/>
          <w:sz w:val="22"/>
          <w:szCs w:val="22"/>
        </w:rPr>
        <w:t xml:space="preserve">cégek, </w:t>
      </w:r>
      <w:r w:rsidRPr="003C03C4">
        <w:rPr>
          <w:rFonts w:ascii="Calibri" w:hAnsi="Calibri" w:cs="Calibri"/>
          <w:sz w:val="22"/>
          <w:szCs w:val="22"/>
        </w:rPr>
        <w:t>intézmények költségvetésébe</w:t>
      </w:r>
      <w:r w:rsidR="009704AD" w:rsidRPr="003C03C4">
        <w:rPr>
          <w:rFonts w:ascii="Calibri" w:hAnsi="Calibri" w:cs="Calibri"/>
          <w:sz w:val="22"/>
          <w:szCs w:val="22"/>
        </w:rPr>
        <w:t xml:space="preserve">: </w:t>
      </w:r>
      <w:r w:rsidR="007F7BF8" w:rsidRPr="003C03C4">
        <w:rPr>
          <w:rFonts w:ascii="Calibri" w:hAnsi="Calibri" w:cs="Calibri"/>
          <w:sz w:val="22"/>
          <w:szCs w:val="22"/>
        </w:rPr>
        <w:t xml:space="preserve">AGORA Savaria Kulturális és Médiaközpont Nonprofit Kft.  </w:t>
      </w:r>
      <w:r w:rsidR="00C80E13" w:rsidRPr="003C03C4">
        <w:rPr>
          <w:rFonts w:ascii="Calibri" w:hAnsi="Calibri" w:cs="Calibri"/>
          <w:sz w:val="22"/>
          <w:szCs w:val="22"/>
        </w:rPr>
        <w:t>24.570</w:t>
      </w:r>
      <w:r w:rsidR="007F7BF8" w:rsidRPr="003C03C4">
        <w:rPr>
          <w:rFonts w:ascii="Calibri" w:hAnsi="Calibri" w:cs="Calibri"/>
          <w:sz w:val="22"/>
          <w:szCs w:val="22"/>
        </w:rPr>
        <w:t xml:space="preserve"> </w:t>
      </w:r>
      <w:r w:rsidRPr="003C03C4">
        <w:rPr>
          <w:rFonts w:ascii="Calibri" w:hAnsi="Calibri" w:cs="Calibri"/>
          <w:sz w:val="22"/>
          <w:szCs w:val="22"/>
        </w:rPr>
        <w:t xml:space="preserve">eFt, Weöres Sándor Színház Nonprofit Kft </w:t>
      </w:r>
      <w:r w:rsidR="00C80E13" w:rsidRPr="003C03C4">
        <w:rPr>
          <w:rFonts w:ascii="Calibri" w:hAnsi="Calibri" w:cs="Calibri"/>
          <w:sz w:val="22"/>
          <w:szCs w:val="22"/>
        </w:rPr>
        <w:t>71.822 e</w:t>
      </w:r>
      <w:r w:rsidRPr="003C03C4">
        <w:rPr>
          <w:rFonts w:ascii="Calibri" w:hAnsi="Calibri" w:cs="Calibri"/>
          <w:sz w:val="22"/>
          <w:szCs w:val="22"/>
        </w:rPr>
        <w:t xml:space="preserve">Ft, Mesebolt Bábszínház </w:t>
      </w:r>
      <w:r w:rsidR="00C80E13" w:rsidRPr="003C03C4">
        <w:rPr>
          <w:rFonts w:ascii="Calibri" w:hAnsi="Calibri" w:cs="Calibri"/>
          <w:sz w:val="22"/>
          <w:szCs w:val="22"/>
        </w:rPr>
        <w:t xml:space="preserve">19.926 </w:t>
      </w:r>
      <w:r w:rsidRPr="003C03C4">
        <w:rPr>
          <w:rFonts w:ascii="Calibri" w:hAnsi="Calibri" w:cs="Calibri"/>
          <w:sz w:val="22"/>
          <w:szCs w:val="22"/>
        </w:rPr>
        <w:t xml:space="preserve">eFt, Savaria Szimfonikus Zenekar </w:t>
      </w:r>
      <w:r w:rsidR="00C80E13" w:rsidRPr="003C03C4">
        <w:rPr>
          <w:rFonts w:ascii="Calibri" w:hAnsi="Calibri" w:cs="Calibri"/>
          <w:sz w:val="22"/>
          <w:szCs w:val="22"/>
        </w:rPr>
        <w:t xml:space="preserve">77.726 </w:t>
      </w:r>
      <w:r w:rsidRPr="003C03C4">
        <w:rPr>
          <w:rFonts w:ascii="Calibri" w:hAnsi="Calibri" w:cs="Calibri"/>
          <w:sz w:val="22"/>
          <w:szCs w:val="22"/>
        </w:rPr>
        <w:t xml:space="preserve">eFt, Berzsenyi Dániel Könyvtár </w:t>
      </w:r>
      <w:r w:rsidR="00C80E13" w:rsidRPr="003C03C4">
        <w:rPr>
          <w:rFonts w:ascii="Calibri" w:hAnsi="Calibri" w:cs="Calibri"/>
          <w:sz w:val="22"/>
          <w:szCs w:val="22"/>
        </w:rPr>
        <w:t>38.000</w:t>
      </w:r>
      <w:r w:rsidRPr="003C03C4">
        <w:rPr>
          <w:rFonts w:ascii="Calibri" w:hAnsi="Calibri" w:cs="Calibri"/>
          <w:sz w:val="22"/>
          <w:szCs w:val="22"/>
        </w:rPr>
        <w:t xml:space="preserve"> eFt, Savaria Múzeum  </w:t>
      </w:r>
      <w:r w:rsidR="00C80E13" w:rsidRPr="003C03C4">
        <w:rPr>
          <w:rFonts w:ascii="Calibri" w:hAnsi="Calibri" w:cs="Calibri"/>
          <w:sz w:val="22"/>
          <w:szCs w:val="22"/>
        </w:rPr>
        <w:t xml:space="preserve">79.910 </w:t>
      </w:r>
      <w:r w:rsidRPr="003C03C4">
        <w:rPr>
          <w:rFonts w:ascii="Calibri" w:hAnsi="Calibri" w:cs="Calibri"/>
          <w:sz w:val="22"/>
          <w:szCs w:val="22"/>
        </w:rPr>
        <w:t>eFt.</w:t>
      </w:r>
    </w:p>
    <w:p w14:paraId="5906AB68" w14:textId="77777777" w:rsidR="00C731E2" w:rsidRPr="00C731E2" w:rsidRDefault="00C731E2" w:rsidP="00C731E2">
      <w:pPr>
        <w:pStyle w:val="Listaszerbekezds"/>
        <w:rPr>
          <w:rFonts w:ascii="Calibri" w:hAnsi="Calibri" w:cs="Calibri"/>
          <w:sz w:val="22"/>
          <w:szCs w:val="22"/>
        </w:rPr>
      </w:pPr>
    </w:p>
    <w:p w14:paraId="68607F75" w14:textId="420790F1" w:rsidR="00C731E2" w:rsidRDefault="00C731E2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C731E2">
        <w:rPr>
          <w:rFonts w:ascii="Calibri" w:hAnsi="Calibri" w:cs="Calibri"/>
          <w:sz w:val="22"/>
          <w:szCs w:val="22"/>
        </w:rPr>
        <w:t xml:space="preserve">Az RRF-1.1.2-21-2021-0007 Demográfiai és köznevelési bölcsődei nevelés fejlesztése Új bölcsőde építése Szombathely Szentkirályi városrészen </w:t>
      </w:r>
      <w:r>
        <w:rPr>
          <w:rFonts w:ascii="Calibri" w:hAnsi="Calibri" w:cs="Calibri"/>
          <w:sz w:val="22"/>
          <w:szCs w:val="22"/>
        </w:rPr>
        <w:t xml:space="preserve">projekthez kapcsolódóan a bölcsődei eszközök beszerzése tárgyában kiírt és lefolytatott közbeszerzési eljárás </w:t>
      </w:r>
      <w:r w:rsidRPr="00A355EB">
        <w:rPr>
          <w:rFonts w:ascii="Calibri" w:hAnsi="Calibri" w:cs="Calibri"/>
          <w:sz w:val="22"/>
          <w:szCs w:val="22"/>
        </w:rPr>
        <w:t>alapján 13.052 eFt</w:t>
      </w:r>
      <w:r>
        <w:rPr>
          <w:rFonts w:ascii="Calibri" w:hAnsi="Calibri" w:cs="Calibri"/>
          <w:sz w:val="22"/>
          <w:szCs w:val="22"/>
        </w:rPr>
        <w:t xml:space="preserve"> összeg átcsoportosítása történt meg a „</w:t>
      </w:r>
      <w:r w:rsidRPr="00C731E2">
        <w:rPr>
          <w:rFonts w:ascii="Calibri" w:hAnsi="Calibri" w:cs="Calibri"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sz w:val="22"/>
          <w:szCs w:val="22"/>
        </w:rPr>
        <w:t xml:space="preserve">” tételsorról a nevezett projekt hozzájárulás tételsorára. </w:t>
      </w:r>
    </w:p>
    <w:p w14:paraId="32A391DE" w14:textId="77777777" w:rsidR="00DB700D" w:rsidRDefault="00DB700D" w:rsidP="00DB700D">
      <w:pPr>
        <w:pStyle w:val="Listaszerbekezds"/>
        <w:ind w:left="720"/>
        <w:jc w:val="both"/>
        <w:rPr>
          <w:rFonts w:ascii="Calibri" w:hAnsi="Calibri" w:cs="Calibri"/>
          <w:sz w:val="22"/>
          <w:szCs w:val="22"/>
        </w:rPr>
      </w:pPr>
    </w:p>
    <w:p w14:paraId="49437519" w14:textId="37A2F155" w:rsidR="00D81B6E" w:rsidRDefault="00DB700D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D81B6E">
        <w:rPr>
          <w:rFonts w:ascii="Calibri" w:hAnsi="Calibri" w:cs="Calibri"/>
          <w:sz w:val="22"/>
          <w:szCs w:val="22"/>
        </w:rPr>
        <w:lastRenderedPageBreak/>
        <w:t xml:space="preserve">A „Kommunális, városüzemeltetési és környezetvédelmi kiadások - 1000 fa program” tételsor előirányzatáról 12.455 eFt átcsoportosításra került a ténylegesen felmerült kiadások költséghelyére, azaz a Polgármesteri Hivatal költségvetésébe. </w:t>
      </w:r>
      <w:r w:rsidRPr="00D81B6E">
        <w:rPr>
          <w:rFonts w:ascii="Calibri" w:hAnsi="Calibri" w:cs="Calibri"/>
          <w:sz w:val="22"/>
          <w:szCs w:val="22"/>
        </w:rPr>
        <w:tab/>
      </w:r>
    </w:p>
    <w:p w14:paraId="3BF00D8F" w14:textId="77777777" w:rsidR="00D81B6E" w:rsidRPr="00D81B6E" w:rsidRDefault="00D81B6E" w:rsidP="00D81B6E">
      <w:pPr>
        <w:pStyle w:val="Listaszerbekezds"/>
        <w:rPr>
          <w:rFonts w:ascii="Calibri" w:hAnsi="Calibri" w:cs="Calibri"/>
          <w:sz w:val="22"/>
          <w:szCs w:val="22"/>
        </w:rPr>
      </w:pPr>
    </w:p>
    <w:p w14:paraId="03DE7664" w14:textId="65598DD4" w:rsidR="004D2289" w:rsidRDefault="00D81B6E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D81B6E">
        <w:rPr>
          <w:rFonts w:ascii="Calibri" w:hAnsi="Calibri" w:cs="Calibri"/>
          <w:sz w:val="22"/>
          <w:szCs w:val="22"/>
        </w:rPr>
        <w:t>Kulturális ágazat, média kiadásai</w:t>
      </w:r>
      <w:r>
        <w:rPr>
          <w:rFonts w:ascii="Calibri" w:hAnsi="Calibri" w:cs="Calibri"/>
          <w:sz w:val="22"/>
          <w:szCs w:val="22"/>
        </w:rPr>
        <w:t xml:space="preserve"> – Egyéb kulturális rendezvények” tételsorról 500 eFt átcsoportosításra került a Savaria Múzeum részére Derkovits Gyula kiállítás megvalósítása érdekében, továbbá 2.000 eFt pedig a Savaria Szimf</w:t>
      </w:r>
      <w:r w:rsidR="004D2289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nikus Zenekar részére a</w:t>
      </w:r>
      <w:r w:rsidR="00DE41F5">
        <w:rPr>
          <w:rFonts w:ascii="Calibri" w:hAnsi="Calibri" w:cs="Calibri"/>
          <w:sz w:val="22"/>
          <w:szCs w:val="22"/>
        </w:rPr>
        <w:t xml:space="preserve">z önkormányzati kulturális rendezvényeken való közreműködés céljából. </w:t>
      </w:r>
    </w:p>
    <w:p w14:paraId="77B88590" w14:textId="77777777" w:rsidR="004D2289" w:rsidRPr="004D2289" w:rsidRDefault="004D2289" w:rsidP="004D2289">
      <w:pPr>
        <w:pStyle w:val="Listaszerbekezds"/>
        <w:rPr>
          <w:rFonts w:ascii="Calibri" w:hAnsi="Calibri" w:cs="Calibri"/>
          <w:sz w:val="22"/>
          <w:szCs w:val="22"/>
        </w:rPr>
      </w:pPr>
    </w:p>
    <w:p w14:paraId="7FA85457" w14:textId="5EBB4F16" w:rsidR="004D2289" w:rsidRDefault="00EF52F0" w:rsidP="00AE7DB8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„</w:t>
      </w:r>
      <w:r w:rsidRPr="00EF52F0">
        <w:rPr>
          <w:rFonts w:ascii="Calibri" w:hAnsi="Calibri" w:cs="Calibri"/>
          <w:sz w:val="22"/>
          <w:szCs w:val="22"/>
        </w:rPr>
        <w:t>Projektek - önerő, hozzájárulás, előkészítés, egyéb beruházási feladatok</w:t>
      </w:r>
      <w:r>
        <w:rPr>
          <w:rFonts w:ascii="Calibri" w:hAnsi="Calibri" w:cs="Calibri"/>
          <w:sz w:val="22"/>
          <w:szCs w:val="22"/>
        </w:rPr>
        <w:t>” tételsorról 150 eFt került átcsoportosításra a „</w:t>
      </w:r>
      <w:r w:rsidRPr="00EF52F0">
        <w:rPr>
          <w:rFonts w:ascii="Calibri" w:hAnsi="Calibri" w:cs="Calibri"/>
          <w:sz w:val="22"/>
          <w:szCs w:val="22"/>
        </w:rPr>
        <w:t>TOP-6.1.5-2019-00002 Ferenczy u. hiányzó szakaszának építése</w:t>
      </w:r>
      <w:r>
        <w:rPr>
          <w:rFonts w:ascii="Calibri" w:hAnsi="Calibri" w:cs="Calibri"/>
          <w:sz w:val="22"/>
          <w:szCs w:val="22"/>
        </w:rPr>
        <w:t xml:space="preserve">” tételsorra a tényleges projekt kiadás alapján. </w:t>
      </w:r>
    </w:p>
    <w:p w14:paraId="6DC97A8C" w14:textId="77777777" w:rsidR="00265B10" w:rsidRPr="00265B10" w:rsidRDefault="00265B10" w:rsidP="00265B10">
      <w:pPr>
        <w:pStyle w:val="Listaszerbekezds"/>
        <w:rPr>
          <w:rFonts w:ascii="Calibri" w:hAnsi="Calibri" w:cs="Calibri"/>
          <w:sz w:val="22"/>
          <w:szCs w:val="22"/>
        </w:rPr>
      </w:pPr>
    </w:p>
    <w:p w14:paraId="1C9A06B3" w14:textId="77777777" w:rsidR="002A6887" w:rsidRDefault="00265B10" w:rsidP="00265B10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Az </w:t>
      </w:r>
      <w:r w:rsidR="00D75D1D">
        <w:rPr>
          <w:rFonts w:ascii="Calibri" w:hAnsi="Calibri" w:cs="Calibri"/>
          <w:sz w:val="22"/>
          <w:szCs w:val="22"/>
        </w:rPr>
        <w:t xml:space="preserve">Szombathelyi </w:t>
      </w:r>
      <w:r w:rsidRPr="00265B10">
        <w:rPr>
          <w:rFonts w:ascii="Calibri" w:hAnsi="Calibri" w:cs="Calibri"/>
          <w:sz w:val="22"/>
          <w:szCs w:val="22"/>
        </w:rPr>
        <w:t xml:space="preserve">Egészségügyi ágazat kiadásai </w:t>
      </w:r>
      <w:r>
        <w:rPr>
          <w:rFonts w:ascii="Calibri" w:hAnsi="Calibri" w:cs="Calibri"/>
          <w:sz w:val="22"/>
          <w:szCs w:val="22"/>
        </w:rPr>
        <w:t>közül a „</w:t>
      </w:r>
      <w:r w:rsidRPr="00265B10">
        <w:rPr>
          <w:rFonts w:ascii="Calibri" w:hAnsi="Calibri" w:cs="Calibri"/>
          <w:sz w:val="22"/>
          <w:szCs w:val="22"/>
        </w:rPr>
        <w:t>Háziorvosi rendelők karbantartása</w:t>
      </w:r>
      <w:r>
        <w:rPr>
          <w:rFonts w:ascii="Calibri" w:hAnsi="Calibri" w:cs="Calibri"/>
          <w:sz w:val="22"/>
          <w:szCs w:val="22"/>
        </w:rPr>
        <w:t>” költségvetési tétel 12.000 eFt összegű előirányzata és az „</w:t>
      </w:r>
      <w:r w:rsidRPr="00265B10">
        <w:rPr>
          <w:rFonts w:ascii="Calibri" w:hAnsi="Calibri" w:cs="Calibri"/>
          <w:sz w:val="22"/>
          <w:szCs w:val="22"/>
        </w:rPr>
        <w:t>Egészség-hét</w:t>
      </w:r>
      <w:r>
        <w:rPr>
          <w:rFonts w:ascii="Calibri" w:hAnsi="Calibri" w:cs="Calibri"/>
          <w:sz w:val="22"/>
          <w:szCs w:val="22"/>
        </w:rPr>
        <w:t>” 800 eFt összegű</w:t>
      </w:r>
      <w:r w:rsidR="001C2C4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előirányzata átcsoportosításra került a feladatokat ténylegesen ellátó-végrehajtó Egészségügyi és Kulturális GESZ költségvetésébe. </w:t>
      </w:r>
      <w:r w:rsidRPr="00265B10">
        <w:rPr>
          <w:rFonts w:ascii="Calibri" w:hAnsi="Calibri" w:cs="Calibri"/>
          <w:sz w:val="22"/>
          <w:szCs w:val="22"/>
        </w:rPr>
        <w:tab/>
      </w:r>
    </w:p>
    <w:p w14:paraId="5BFFB0D5" w14:textId="77777777" w:rsidR="002A6887" w:rsidRPr="002A6887" w:rsidRDefault="002A6887" w:rsidP="002A6887">
      <w:pPr>
        <w:pStyle w:val="Listaszerbekezds"/>
        <w:rPr>
          <w:rFonts w:ascii="Calibri" w:hAnsi="Calibri" w:cs="Calibri"/>
          <w:sz w:val="22"/>
          <w:szCs w:val="22"/>
        </w:rPr>
      </w:pPr>
    </w:p>
    <w:p w14:paraId="734159E3" w14:textId="1C4ED94A" w:rsidR="002A6887" w:rsidRDefault="002A6887" w:rsidP="002A6887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2A6887">
        <w:rPr>
          <w:rFonts w:ascii="Calibri" w:hAnsi="Calibri" w:cs="Calibri"/>
          <w:sz w:val="22"/>
          <w:szCs w:val="22"/>
        </w:rPr>
        <w:t xml:space="preserve"> Polgármesteri Hivatal költségvetésébe </w:t>
      </w:r>
      <w:r>
        <w:rPr>
          <w:rFonts w:ascii="Calibri" w:hAnsi="Calibri" w:cs="Calibri"/>
          <w:sz w:val="22"/>
          <w:szCs w:val="22"/>
        </w:rPr>
        <w:t>515</w:t>
      </w:r>
      <w:r w:rsidRPr="002A6887">
        <w:rPr>
          <w:rFonts w:ascii="Calibri" w:hAnsi="Calibri" w:cs="Calibri"/>
          <w:sz w:val="22"/>
          <w:szCs w:val="22"/>
        </w:rPr>
        <w:t xml:space="preserve"> eFt összeg került átcsoportosításra a</w:t>
      </w:r>
      <w:r>
        <w:rPr>
          <w:rFonts w:ascii="Calibri" w:hAnsi="Calibri" w:cs="Calibri"/>
          <w:sz w:val="22"/>
          <w:szCs w:val="22"/>
        </w:rPr>
        <w:t>z</w:t>
      </w:r>
      <w:r w:rsidRPr="002A6887">
        <w:rPr>
          <w:rFonts w:ascii="Calibri" w:hAnsi="Calibri" w:cs="Calibri"/>
          <w:sz w:val="22"/>
          <w:szCs w:val="22"/>
        </w:rPr>
        <w:t xml:space="preserve"> „Aktív időskor Szombathelyen program” Hivatalban felmerült költségeinek finanszírozása</w:t>
      </w:r>
      <w:r>
        <w:rPr>
          <w:rFonts w:ascii="Calibri" w:hAnsi="Calibri" w:cs="Calibri"/>
          <w:sz w:val="22"/>
          <w:szCs w:val="22"/>
        </w:rPr>
        <w:t xml:space="preserve"> </w:t>
      </w:r>
      <w:r w:rsidRPr="002A6887">
        <w:rPr>
          <w:rFonts w:ascii="Calibri" w:hAnsi="Calibri" w:cs="Calibri"/>
          <w:sz w:val="22"/>
          <w:szCs w:val="22"/>
        </w:rPr>
        <w:t xml:space="preserve">érdekében az azonos elnevezésű költségvetési előirányzat terhére. </w:t>
      </w:r>
    </w:p>
    <w:p w14:paraId="53E38564" w14:textId="77777777" w:rsidR="002005CF" w:rsidRPr="002005CF" w:rsidRDefault="002005CF" w:rsidP="002005CF">
      <w:pPr>
        <w:pStyle w:val="Listaszerbekezds"/>
        <w:rPr>
          <w:rFonts w:ascii="Calibri" w:hAnsi="Calibri" w:cs="Calibri"/>
          <w:sz w:val="22"/>
          <w:szCs w:val="22"/>
        </w:rPr>
      </w:pPr>
    </w:p>
    <w:p w14:paraId="3DA493DE" w14:textId="554BC3CA" w:rsidR="00265B10" w:rsidRPr="00265B10" w:rsidRDefault="002005CF" w:rsidP="004A1D4F">
      <w:pPr>
        <w:pStyle w:val="Listaszerbekezds"/>
        <w:numPr>
          <w:ilvl w:val="0"/>
          <w:numId w:val="10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„</w:t>
      </w:r>
      <w:r w:rsidRPr="002005CF">
        <w:rPr>
          <w:rFonts w:ascii="Calibri" w:hAnsi="Calibri" w:cs="Calibri"/>
          <w:sz w:val="22"/>
          <w:szCs w:val="22"/>
        </w:rPr>
        <w:t>Egyedi önkormányzati informatikai fejlesztések</w:t>
      </w:r>
      <w:r>
        <w:rPr>
          <w:rFonts w:ascii="Calibri" w:hAnsi="Calibri" w:cs="Calibri"/>
          <w:sz w:val="22"/>
          <w:szCs w:val="22"/>
        </w:rPr>
        <w:t>” tételsorra 500 eFt került átcsoportosításra a „</w:t>
      </w:r>
      <w:r w:rsidRPr="002005CF">
        <w:rPr>
          <w:rFonts w:ascii="Calibri" w:hAnsi="Calibri" w:cs="Calibri"/>
          <w:sz w:val="22"/>
          <w:szCs w:val="22"/>
        </w:rPr>
        <w:t>Költségvetési</w:t>
      </w:r>
      <w:r>
        <w:rPr>
          <w:rFonts w:ascii="Calibri" w:hAnsi="Calibri" w:cs="Calibri"/>
          <w:sz w:val="22"/>
          <w:szCs w:val="22"/>
        </w:rPr>
        <w:t xml:space="preserve"> </w:t>
      </w:r>
      <w:r w:rsidRPr="002005CF">
        <w:rPr>
          <w:rFonts w:ascii="Calibri" w:hAnsi="Calibri" w:cs="Calibri"/>
          <w:sz w:val="22"/>
          <w:szCs w:val="22"/>
        </w:rPr>
        <w:t>intéz</w:t>
      </w:r>
      <w:r w:rsidRPr="002005CF">
        <w:rPr>
          <w:rFonts w:ascii="Calibri" w:hAnsi="Calibri" w:cs="Calibri"/>
          <w:sz w:val="22"/>
          <w:szCs w:val="22"/>
        </w:rPr>
        <w:lastRenderedPageBreak/>
        <w:t>mények informatikai fejlesztése</w:t>
      </w:r>
      <w:r>
        <w:rPr>
          <w:rFonts w:ascii="Calibri" w:hAnsi="Calibri" w:cs="Calibri"/>
          <w:sz w:val="22"/>
          <w:szCs w:val="22"/>
        </w:rPr>
        <w:t>„</w:t>
      </w:r>
      <w:r w:rsidR="001811A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tételsorról</w:t>
      </w:r>
      <w:r w:rsidR="009E0B5C">
        <w:rPr>
          <w:rFonts w:ascii="Calibri" w:hAnsi="Calibri" w:cs="Calibri"/>
          <w:sz w:val="22"/>
          <w:szCs w:val="22"/>
        </w:rPr>
        <w:t xml:space="preserve"> </w:t>
      </w:r>
      <w:r w:rsidR="00F44AF1">
        <w:rPr>
          <w:rFonts w:ascii="Calibri" w:hAnsi="Calibri" w:cs="Calibri"/>
          <w:sz w:val="22"/>
          <w:szCs w:val="22"/>
        </w:rPr>
        <w:t xml:space="preserve">valamennyi </w:t>
      </w:r>
      <w:r w:rsidR="009E0B5C">
        <w:rPr>
          <w:rFonts w:ascii="Calibri" w:hAnsi="Calibri" w:cs="Calibri"/>
          <w:sz w:val="22"/>
          <w:szCs w:val="22"/>
        </w:rPr>
        <w:t xml:space="preserve">önkormányzati óvoda weboldalának elkészítése </w:t>
      </w:r>
      <w:r w:rsidR="00F44AF1">
        <w:rPr>
          <w:rFonts w:ascii="Calibri" w:hAnsi="Calibri" w:cs="Calibri"/>
          <w:sz w:val="22"/>
          <w:szCs w:val="22"/>
        </w:rPr>
        <w:t>érdekében</w:t>
      </w:r>
      <w:r w:rsidR="009E0B5C">
        <w:rPr>
          <w:rFonts w:ascii="Calibri" w:hAnsi="Calibri" w:cs="Calibri"/>
          <w:sz w:val="22"/>
          <w:szCs w:val="22"/>
        </w:rPr>
        <w:t xml:space="preserve">. </w:t>
      </w:r>
    </w:p>
    <w:p w14:paraId="087084F7" w14:textId="77777777" w:rsidR="004D2289" w:rsidRPr="004D2289" w:rsidRDefault="004D2289" w:rsidP="004D2289">
      <w:pPr>
        <w:pStyle w:val="Listaszerbekezds"/>
        <w:rPr>
          <w:rFonts w:ascii="Calibri" w:hAnsi="Calibri" w:cs="Calibri"/>
          <w:sz w:val="22"/>
          <w:szCs w:val="22"/>
        </w:rPr>
      </w:pPr>
    </w:p>
    <w:p w14:paraId="466F6BA0" w14:textId="56A309A1" w:rsidR="00500B0C" w:rsidRPr="00F14DC1" w:rsidRDefault="00D81B6E" w:rsidP="001811A6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4D2289">
        <w:rPr>
          <w:rFonts w:ascii="Calibri" w:hAnsi="Calibri" w:cs="Calibri"/>
          <w:sz w:val="22"/>
          <w:szCs w:val="22"/>
        </w:rPr>
        <w:tab/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g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)</w:t>
      </w:r>
      <w:r w:rsidR="005F445C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egyenleg: </w:t>
      </w:r>
      <w:r w:rsidR="00500B0C" w:rsidRPr="00D2121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0 </w:t>
      </w:r>
      <w:r w:rsidR="00500B0C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eFt</w:t>
      </w:r>
    </w:p>
    <w:p w14:paraId="3B80B74F" w14:textId="77777777" w:rsidR="00500B0C" w:rsidRPr="00F14DC1" w:rsidRDefault="00500B0C" w:rsidP="00500B0C">
      <w:pPr>
        <w:tabs>
          <w:tab w:val="left" w:pos="840"/>
        </w:tabs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</w:p>
    <w:p w14:paraId="540537E7" w14:textId="533A398E" w:rsidR="00500B0C" w:rsidRPr="00FC4CAB" w:rsidRDefault="00500B0C" w:rsidP="00AE7DB8">
      <w:pPr>
        <w:numPr>
          <w:ilvl w:val="0"/>
          <w:numId w:val="7"/>
        </w:numPr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Az utólagos tudomás</w:t>
      </w:r>
      <w:r w:rsidR="00295143" w:rsidRPr="00F14DC1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ul vételt jelentő </w:t>
      </w:r>
      <w:r w:rsidR="00295143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tételek a) – g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)  egyenlege: </w:t>
      </w:r>
      <w:r w:rsidR="003F6CA1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+22.429</w:t>
      </w:r>
      <w:r w:rsidR="007154D9"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</w:t>
      </w:r>
      <w:r w:rsidRPr="00FC4CAB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eFt</w:t>
      </w:r>
    </w:p>
    <w:p w14:paraId="673E6977" w14:textId="77777777" w:rsidR="00487DD4" w:rsidRDefault="00487DD4" w:rsidP="00500B0C">
      <w:pPr>
        <w:rPr>
          <w:rFonts w:ascii="Calibri" w:hAnsi="Calibri" w:cs="Calibri"/>
          <w:b/>
          <w:sz w:val="22"/>
          <w:szCs w:val="22"/>
        </w:rPr>
      </w:pPr>
    </w:p>
    <w:p w14:paraId="6060DE2F" w14:textId="77777777" w:rsidR="005E2762" w:rsidRPr="00F14DC1" w:rsidRDefault="005E2762" w:rsidP="00500B0C">
      <w:pPr>
        <w:rPr>
          <w:rFonts w:ascii="Calibri" w:hAnsi="Calibri" w:cs="Calibri"/>
          <w:b/>
          <w:sz w:val="22"/>
          <w:szCs w:val="22"/>
        </w:rPr>
      </w:pPr>
    </w:p>
    <w:p w14:paraId="7F3896C0" w14:textId="67BBDCB2" w:rsidR="00500B0C" w:rsidRDefault="00500B0C" w:rsidP="00500B0C">
      <w:pPr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>III.</w:t>
      </w:r>
      <w:r w:rsidR="00B911D2" w:rsidRPr="00F14DC1">
        <w:rPr>
          <w:rFonts w:ascii="Calibri" w:hAnsi="Calibri" w:cs="Calibri"/>
          <w:b/>
          <w:sz w:val="22"/>
          <w:szCs w:val="22"/>
        </w:rPr>
        <w:t>Közgyűlési</w:t>
      </w:r>
      <w:r w:rsidR="00A26220" w:rsidRPr="00F14DC1">
        <w:rPr>
          <w:rFonts w:ascii="Calibri" w:hAnsi="Calibri" w:cs="Calibri"/>
          <w:b/>
          <w:sz w:val="22"/>
          <w:szCs w:val="22"/>
        </w:rPr>
        <w:t xml:space="preserve"> határozatok</w:t>
      </w: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FA4FA4">
        <w:rPr>
          <w:rFonts w:ascii="Calibri" w:hAnsi="Calibri" w:cs="Calibri"/>
          <w:b/>
          <w:sz w:val="22"/>
          <w:szCs w:val="22"/>
        </w:rPr>
        <w:t xml:space="preserve">és önkormányzati rendelet </w:t>
      </w:r>
      <w:r w:rsidRPr="00F14DC1">
        <w:rPr>
          <w:rFonts w:ascii="Calibri" w:hAnsi="Calibri" w:cs="Calibri"/>
          <w:b/>
          <w:sz w:val="22"/>
          <w:szCs w:val="22"/>
        </w:rPr>
        <w:t>alapján biztosított tételek</w:t>
      </w:r>
    </w:p>
    <w:p w14:paraId="38FC303F" w14:textId="77777777" w:rsidR="007D1411" w:rsidRPr="00F14DC1" w:rsidRDefault="007D1411" w:rsidP="00500B0C">
      <w:pPr>
        <w:rPr>
          <w:rFonts w:ascii="Calibri" w:hAnsi="Calibri" w:cs="Calibri"/>
          <w:b/>
          <w:sz w:val="22"/>
          <w:szCs w:val="22"/>
        </w:rPr>
      </w:pPr>
    </w:p>
    <w:p w14:paraId="4C01ACCC" w14:textId="2A5E565D" w:rsidR="001022BC" w:rsidRPr="0005701C" w:rsidRDefault="001022BC" w:rsidP="001022BC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5701C">
        <w:rPr>
          <w:rFonts w:asciiTheme="minorHAnsi" w:hAnsiTheme="minorHAnsi" w:cstheme="minorHAnsi"/>
          <w:sz w:val="22"/>
          <w:szCs w:val="22"/>
        </w:rPr>
        <w:t xml:space="preserve">A </w:t>
      </w:r>
      <w:r w:rsidRPr="000570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48/2024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. (II.29.) Kgy.sz. határozatban 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foglaltak</w:t>
      </w:r>
      <w:r w:rsidR="00AE1154" w:rsidRPr="0005701C">
        <w:rPr>
          <w:rFonts w:asciiTheme="minorHAnsi" w:hAnsiTheme="minorHAnsi" w:cstheme="minorHAnsi"/>
          <w:bCs/>
          <w:iCs/>
          <w:sz w:val="22"/>
          <w:szCs w:val="22"/>
        </w:rPr>
        <w:t xml:space="preserve"> sze</w:t>
      </w:r>
      <w:r w:rsidRPr="0005701C">
        <w:rPr>
          <w:rFonts w:asciiTheme="minorHAnsi" w:hAnsiTheme="minorHAnsi" w:cstheme="minorHAnsi"/>
          <w:bCs/>
          <w:iCs/>
          <w:sz w:val="22"/>
          <w:szCs w:val="22"/>
        </w:rPr>
        <w:t>rint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05701C">
        <w:rPr>
          <w:rFonts w:asciiTheme="minorHAnsi" w:hAnsiTheme="minorHAnsi" w:cstheme="minorHAnsi"/>
          <w:sz w:val="22"/>
          <w:szCs w:val="22"/>
        </w:rPr>
        <w:t xml:space="preserve">döntés született arról, hogy az egészségügyi alapellátás háziorvosai és fogorvosai részére 2024. június 30. napjáig a rendelők közüzemi költségeinek megfizetéséhez az önkormányzat rezsitámogatást biztosít. A Szombathelyi Egészségügyi és Kulturális Intézmények Gazdasági Ellátó Szervezete kimutatása alapján az intézmény költségvetésébe átcsoportosítással került biztosításra </w:t>
      </w:r>
      <w:r w:rsidR="00A66717" w:rsidRPr="0005701C">
        <w:rPr>
          <w:rFonts w:asciiTheme="minorHAnsi" w:hAnsiTheme="minorHAnsi" w:cstheme="minorHAnsi"/>
          <w:sz w:val="22"/>
          <w:szCs w:val="22"/>
        </w:rPr>
        <w:t xml:space="preserve">3.196 </w:t>
      </w:r>
      <w:r w:rsidRPr="0005701C">
        <w:rPr>
          <w:rFonts w:asciiTheme="minorHAnsi" w:hAnsiTheme="minorHAnsi" w:cstheme="minorHAnsi"/>
          <w:sz w:val="22"/>
          <w:szCs w:val="22"/>
        </w:rPr>
        <w:t>eFt összeg az „</w:t>
      </w:r>
      <w:r w:rsidRPr="0005701C">
        <w:rPr>
          <w:rFonts w:asciiTheme="minorHAnsi" w:hAnsiTheme="minorHAnsi" w:cstheme="minorHAnsi"/>
          <w:bCs/>
          <w:sz w:val="22"/>
          <w:szCs w:val="22"/>
        </w:rPr>
        <w:t xml:space="preserve">Egészségügyi ágazat kiadásai - </w:t>
      </w:r>
      <w:r w:rsidRPr="0005701C">
        <w:rPr>
          <w:rFonts w:asciiTheme="minorHAnsi" w:hAnsiTheme="minorHAnsi" w:cstheme="minorHAnsi"/>
          <w:sz w:val="22"/>
          <w:szCs w:val="22"/>
        </w:rPr>
        <w:t>Alapellátás háziorvosai és fogorvosai részére rezsikompenzáció” tételsor terhére.</w:t>
      </w:r>
    </w:p>
    <w:p w14:paraId="774EE326" w14:textId="5720C6CD" w:rsidR="001022BC" w:rsidRPr="0005701C" w:rsidRDefault="001022BC" w:rsidP="001022BC">
      <w:pPr>
        <w:ind w:left="360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162962118"/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 </w:t>
      </w:r>
      <w:r w:rsidR="007131F0"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 </w:t>
      </w:r>
      <w:r w:rsidRPr="0005701C">
        <w:rPr>
          <w:rFonts w:asciiTheme="minorHAnsi" w:hAnsiTheme="minorHAnsi" w:cstheme="minorHAnsi"/>
          <w:b/>
          <w:i/>
          <w:sz w:val="22"/>
          <w:szCs w:val="22"/>
        </w:rPr>
        <w:t xml:space="preserve"> (egyenleg: 0 eFt) </w:t>
      </w:r>
    </w:p>
    <w:p w14:paraId="41AC4DCC" w14:textId="77777777" w:rsidR="00544C83" w:rsidRDefault="00544C83" w:rsidP="001022BC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DEF4BF0" w14:textId="20440C1B" w:rsidR="00544C83" w:rsidRDefault="00544C83" w:rsidP="00242F39">
      <w:pPr>
        <w:ind w:left="709" w:hanging="207"/>
        <w:jc w:val="both"/>
        <w:rPr>
          <w:rFonts w:ascii="Calibri" w:hAnsi="Calibri" w:cs="Calibri"/>
          <w:bCs/>
          <w:iCs/>
          <w:sz w:val="22"/>
          <w:szCs w:val="22"/>
        </w:rPr>
      </w:pPr>
      <w:r w:rsidRPr="00544C83">
        <w:rPr>
          <w:rFonts w:ascii="Calibri" w:hAnsi="Calibri" w:cs="Calibri"/>
          <w:bCs/>
          <w:iCs/>
          <w:sz w:val="22"/>
          <w:szCs w:val="22"/>
        </w:rPr>
        <w:t>•</w:t>
      </w:r>
      <w:r w:rsidRPr="00544C83">
        <w:rPr>
          <w:rFonts w:ascii="Calibri" w:hAnsi="Calibri" w:cs="Calibri"/>
          <w:bCs/>
          <w:iCs/>
          <w:sz w:val="22"/>
          <w:szCs w:val="22"/>
        </w:rPr>
        <w:tab/>
        <w:t xml:space="preserve">A </w:t>
      </w:r>
      <w:r w:rsidRPr="008F1A67">
        <w:rPr>
          <w:rFonts w:ascii="Calibri" w:hAnsi="Calibri" w:cs="Calibri"/>
          <w:b/>
          <w:i/>
          <w:sz w:val="22"/>
          <w:szCs w:val="22"/>
        </w:rPr>
        <w:t>23/2024. (I.25.) Kgy.sz. határozatban</w:t>
      </w:r>
      <w:r w:rsidRPr="00544C83">
        <w:rPr>
          <w:rFonts w:ascii="Calibri" w:hAnsi="Calibri" w:cs="Calibri"/>
          <w:bCs/>
          <w:iCs/>
          <w:sz w:val="22"/>
          <w:szCs w:val="22"/>
        </w:rPr>
        <w:t xml:space="preserve"> foglaltak szerint döntés született arról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 hogy</w:t>
      </w:r>
      <w:r w:rsidR="008F1A67" w:rsidRPr="008F1A67">
        <w:rPr>
          <w:rFonts w:ascii="Calibri" w:hAnsi="Calibri" w:cs="Calibri"/>
          <w:bCs/>
          <w:iCs/>
          <w:sz w:val="22"/>
          <w:szCs w:val="22"/>
        </w:rPr>
        <w:t xml:space="preserve"> a JUSTClimate projekt megvalósítása érdekében 2024. február 1. és 2024. október 15. közötti időszakra, határozott időre a Polgármesteri Hivatal engedélyezett létszáma 279,5 főben kerül megállapításra.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 A Közgyűlés a létszámbővítés fedezetéről az Önkormányzat</w:t>
      </w:r>
      <w:r w:rsidR="00B158BD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8F1A67">
        <w:rPr>
          <w:rFonts w:ascii="Calibri" w:hAnsi="Calibri" w:cs="Calibri"/>
          <w:bCs/>
          <w:iCs/>
          <w:sz w:val="22"/>
          <w:szCs w:val="22"/>
        </w:rPr>
        <w:t xml:space="preserve">2024. évi költségvetéséről szóló önkormányzati rendeletében – jelen rendelet módosításban – gondoskodik az elnyert támogatás terhére. </w:t>
      </w:r>
    </w:p>
    <w:p w14:paraId="4CE586C6" w14:textId="60FDCD56" w:rsidR="008F1A67" w:rsidRDefault="008F1A67" w:rsidP="00242F39">
      <w:pPr>
        <w:ind w:left="709"/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lastRenderedPageBreak/>
        <w:t xml:space="preserve">Így egyrészt beemelésre került az elnyert projekt támogatás teljes </w:t>
      </w:r>
      <w:r w:rsidR="006A25E2">
        <w:rPr>
          <w:rFonts w:ascii="Calibri" w:hAnsi="Calibri" w:cs="Calibri"/>
          <w:bCs/>
          <w:iCs/>
          <w:sz w:val="22"/>
          <w:szCs w:val="22"/>
        </w:rPr>
        <w:t xml:space="preserve">működési </w:t>
      </w:r>
      <w:r>
        <w:rPr>
          <w:rFonts w:ascii="Calibri" w:hAnsi="Calibri" w:cs="Calibri"/>
          <w:bCs/>
          <w:iCs/>
          <w:sz w:val="22"/>
          <w:szCs w:val="22"/>
        </w:rPr>
        <w:t>bevételi és kiadási előirányzata 19.262 eFt összegben, másrészt pedig azonnal átcsoportosításra került a Polgármesteri Hivatal költségvetési előirányzatai közé 4.67</w:t>
      </w:r>
      <w:r w:rsidR="0014414A">
        <w:rPr>
          <w:rFonts w:ascii="Calibri" w:hAnsi="Calibri" w:cs="Calibri"/>
          <w:bCs/>
          <w:iCs/>
          <w:sz w:val="22"/>
          <w:szCs w:val="22"/>
        </w:rPr>
        <w:t>0</w:t>
      </w:r>
      <w:r>
        <w:rPr>
          <w:rFonts w:ascii="Calibri" w:hAnsi="Calibri" w:cs="Calibri"/>
          <w:bCs/>
          <w:iCs/>
          <w:sz w:val="22"/>
          <w:szCs w:val="22"/>
        </w:rPr>
        <w:t xml:space="preserve"> eFt. </w:t>
      </w:r>
    </w:p>
    <w:p w14:paraId="40B96D1C" w14:textId="1ACC3462" w:rsidR="00544C83" w:rsidRPr="00C251E5" w:rsidRDefault="00C251E5" w:rsidP="00544C83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  <w:r w:rsidRPr="00C251E5">
        <w:rPr>
          <w:rFonts w:ascii="Calibri" w:hAnsi="Calibri" w:cs="Calibri"/>
          <w:b/>
          <w:i/>
          <w:sz w:val="22"/>
          <w:szCs w:val="22"/>
        </w:rPr>
        <w:t xml:space="preserve">      (egyenleg: 0 eFt)</w:t>
      </w:r>
    </w:p>
    <w:p w14:paraId="024153D3" w14:textId="77777777" w:rsidR="00544C83" w:rsidRPr="00C251E5" w:rsidRDefault="00544C83" w:rsidP="00544C83">
      <w:pPr>
        <w:ind w:left="567" w:hanging="207"/>
        <w:jc w:val="both"/>
        <w:rPr>
          <w:rFonts w:ascii="Calibri" w:hAnsi="Calibri" w:cs="Calibri"/>
          <w:b/>
          <w:i/>
          <w:sz w:val="22"/>
          <w:szCs w:val="22"/>
        </w:rPr>
      </w:pPr>
    </w:p>
    <w:bookmarkEnd w:id="0"/>
    <w:p w14:paraId="19D471A9" w14:textId="77777777" w:rsidR="00183024" w:rsidRPr="00C208E9" w:rsidRDefault="00183024" w:rsidP="00183024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A települési támogatás keretében nyújtott ellátások és szociális szolgáltatások helyi szabályozásáról szóló 8/2015. (II.27.) önkormányzati rendelet módosítása alapján bevezetésre került az időskorúak és egészségkárosodottak támogatása. A 10.000 Ft/jogosult támogatási összeg nyújtásának technikai lebonyolításához kapcsolódóan várhatóan 5.000 eFt összegű postaköltség jelentkezik. Ezen összeg a Polgármesteri Hivatal költségvetésében került biztosításra. </w:t>
      </w:r>
    </w:p>
    <w:p w14:paraId="06192D46" w14:textId="77777777" w:rsidR="00183024" w:rsidRDefault="00183024" w:rsidP="00183024">
      <w:pPr>
        <w:ind w:firstLine="708"/>
        <w:jc w:val="both"/>
        <w:rPr>
          <w:rFonts w:ascii="Calibri" w:hAnsi="Calibri" w:cs="Calibri"/>
          <w:b/>
          <w:i/>
          <w:sz w:val="22"/>
          <w:szCs w:val="22"/>
        </w:rPr>
      </w:pPr>
      <w:r w:rsidRPr="00C208E9">
        <w:rPr>
          <w:rFonts w:ascii="Calibri" w:hAnsi="Calibri" w:cs="Calibri"/>
          <w:b/>
          <w:i/>
          <w:sz w:val="22"/>
          <w:szCs w:val="22"/>
        </w:rPr>
        <w:t>(egyenleg: -</w:t>
      </w:r>
      <w:r>
        <w:rPr>
          <w:rFonts w:ascii="Calibri" w:hAnsi="Calibri" w:cs="Calibri"/>
          <w:b/>
          <w:i/>
          <w:sz w:val="22"/>
          <w:szCs w:val="22"/>
        </w:rPr>
        <w:t>5.000</w:t>
      </w:r>
      <w:r w:rsidRPr="00C208E9">
        <w:rPr>
          <w:rFonts w:ascii="Calibri" w:hAnsi="Calibri" w:cs="Calibri"/>
          <w:b/>
          <w:i/>
          <w:sz w:val="22"/>
          <w:szCs w:val="22"/>
        </w:rPr>
        <w:t xml:space="preserve"> eFt)</w:t>
      </w:r>
    </w:p>
    <w:p w14:paraId="555204BB" w14:textId="5149691F" w:rsidR="00D00F8F" w:rsidRPr="007D79D9" w:rsidRDefault="00D00F8F" w:rsidP="00D00F8F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bCs/>
          <w:iCs/>
        </w:rPr>
      </w:pPr>
      <w:r w:rsidRPr="007D79D9">
        <w:rPr>
          <w:rFonts w:ascii="Calibri" w:hAnsi="Calibri" w:cs="Calibri"/>
          <w:sz w:val="22"/>
          <w:szCs w:val="22"/>
        </w:rPr>
        <w:t xml:space="preserve">A </w:t>
      </w:r>
      <w:r w:rsidRPr="007D79D9">
        <w:rPr>
          <w:rFonts w:ascii="Calibri" w:hAnsi="Calibri" w:cs="Calibri"/>
          <w:b/>
          <w:bCs/>
          <w:i/>
          <w:iCs/>
          <w:sz w:val="22"/>
          <w:szCs w:val="22"/>
        </w:rPr>
        <w:t>190/2023</w:t>
      </w:r>
      <w:r w:rsidRPr="007D79D9">
        <w:rPr>
          <w:rFonts w:ascii="Calibri" w:hAnsi="Calibri" w:cs="Calibri"/>
          <w:b/>
          <w:i/>
          <w:sz w:val="22"/>
          <w:szCs w:val="22"/>
        </w:rPr>
        <w:t xml:space="preserve">. (V.25.) Kgy.sz. határozat 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alapján biztosításra került a nyertes </w:t>
      </w:r>
      <w:r w:rsidR="004B7847" w:rsidRPr="007D79D9">
        <w:rPr>
          <w:rFonts w:ascii="Calibri" w:hAnsi="Calibri" w:cs="Calibri"/>
          <w:bCs/>
          <w:iCs/>
          <w:sz w:val="22"/>
          <w:szCs w:val="22"/>
        </w:rPr>
        <w:t>„Interreg CE Program – Green LaMiS”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4B7847" w:rsidRPr="007D79D9">
        <w:rPr>
          <w:rFonts w:ascii="Calibri" w:hAnsi="Calibri" w:cs="Calibri"/>
          <w:bCs/>
          <w:iCs/>
          <w:sz w:val="22"/>
          <w:szCs w:val="22"/>
        </w:rPr>
        <w:t>projekthez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szükséges önerő</w:t>
      </w:r>
      <w:r w:rsidR="007D79D9" w:rsidRPr="007D79D9">
        <w:rPr>
          <w:rFonts w:ascii="Calibri" w:hAnsi="Calibri" w:cs="Calibri"/>
          <w:bCs/>
          <w:iCs/>
          <w:sz w:val="22"/>
          <w:szCs w:val="22"/>
        </w:rPr>
        <w:t xml:space="preserve"> 2.788 eFt összegben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és egyúttal beemelésre került a költségvetés </w:t>
      </w:r>
      <w:r w:rsidR="00140FCA">
        <w:rPr>
          <w:rFonts w:ascii="Calibri" w:hAnsi="Calibri" w:cs="Calibri"/>
          <w:bCs/>
          <w:iCs/>
          <w:sz w:val="22"/>
          <w:szCs w:val="22"/>
        </w:rPr>
        <w:t>működési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tételei közé a projekt támogatás bevétele és kiadása is</w:t>
      </w:r>
      <w:r w:rsidR="007D79D9" w:rsidRPr="007D79D9">
        <w:rPr>
          <w:rFonts w:ascii="Calibri" w:hAnsi="Calibri" w:cs="Calibri"/>
          <w:bCs/>
          <w:iCs/>
          <w:sz w:val="22"/>
          <w:szCs w:val="22"/>
        </w:rPr>
        <w:t xml:space="preserve"> 52.960 eFt összegben. </w:t>
      </w:r>
      <w:r w:rsidRPr="007D79D9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14:paraId="4202AEB9" w14:textId="15283A3E" w:rsidR="00D00F8F" w:rsidRDefault="00D00F8F" w:rsidP="00D00F8F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  <w:r w:rsidRPr="007D79D9">
        <w:rPr>
          <w:rFonts w:ascii="Calibri" w:hAnsi="Calibri" w:cs="Calibri"/>
          <w:b/>
          <w:i/>
          <w:sz w:val="22"/>
          <w:szCs w:val="22"/>
        </w:rPr>
        <w:t xml:space="preserve">      (egyenleg: </w:t>
      </w:r>
      <w:r w:rsidR="007D79D9">
        <w:rPr>
          <w:rFonts w:ascii="Calibri" w:hAnsi="Calibri" w:cs="Calibri"/>
          <w:b/>
          <w:i/>
          <w:sz w:val="22"/>
          <w:szCs w:val="22"/>
        </w:rPr>
        <w:t>-2.788</w:t>
      </w:r>
      <w:r w:rsidRPr="007D79D9">
        <w:rPr>
          <w:rFonts w:ascii="Calibri" w:hAnsi="Calibri" w:cs="Calibri"/>
          <w:b/>
          <w:i/>
          <w:sz w:val="22"/>
          <w:szCs w:val="22"/>
        </w:rPr>
        <w:t xml:space="preserve"> eFt)</w:t>
      </w:r>
      <w:r w:rsidRPr="00F5512B">
        <w:rPr>
          <w:rFonts w:ascii="Calibri" w:hAnsi="Calibri" w:cs="Calibri"/>
          <w:b/>
          <w:i/>
          <w:sz w:val="22"/>
          <w:szCs w:val="22"/>
        </w:rPr>
        <w:t xml:space="preserve"> </w:t>
      </w:r>
    </w:p>
    <w:p w14:paraId="36C1FF04" w14:textId="77777777" w:rsidR="00EB0FBF" w:rsidRDefault="00EB0FBF" w:rsidP="00D00F8F">
      <w:pPr>
        <w:ind w:left="36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37202E66" w14:textId="0ECF70AF" w:rsidR="00183024" w:rsidRPr="007E5110" w:rsidRDefault="00183024" w:rsidP="00183024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C80839">
        <w:rPr>
          <w:rFonts w:ascii="Calibri" w:hAnsi="Calibri" w:cs="Calibri"/>
          <w:sz w:val="22"/>
          <w:szCs w:val="22"/>
        </w:rPr>
        <w:t xml:space="preserve">A </w:t>
      </w:r>
      <w:r w:rsidRPr="007E5110">
        <w:rPr>
          <w:rFonts w:ascii="Calibri" w:hAnsi="Calibri" w:cs="Calibri"/>
          <w:b/>
          <w:bCs/>
          <w:i/>
          <w:iCs/>
          <w:sz w:val="22"/>
          <w:szCs w:val="22"/>
        </w:rPr>
        <w:t>88/2024. (III.28.) Kgy.sz. határozat</w:t>
      </w:r>
      <w:r w:rsidRPr="007E5110">
        <w:rPr>
          <w:rFonts w:ascii="Calibri" w:hAnsi="Calibri" w:cs="Calibri"/>
          <w:sz w:val="22"/>
          <w:szCs w:val="22"/>
        </w:rPr>
        <w:t xml:space="preserve"> alapján a Zanati városrész útjainak felújításához (Áfonya u., Eper u., Korpás u., Fenyő u.) terület megvásárlása, járdák hibáinak kijavítása, cs</w:t>
      </w:r>
      <w:r>
        <w:rPr>
          <w:rFonts w:ascii="Calibri" w:hAnsi="Calibri" w:cs="Calibri"/>
          <w:sz w:val="22"/>
          <w:szCs w:val="22"/>
        </w:rPr>
        <w:t>a</w:t>
      </w:r>
      <w:r w:rsidRPr="007E5110">
        <w:rPr>
          <w:rFonts w:ascii="Calibri" w:hAnsi="Calibri" w:cs="Calibri"/>
          <w:sz w:val="22"/>
          <w:szCs w:val="22"/>
        </w:rPr>
        <w:t xml:space="preserve">padékvíz szikkasztó medence átalakítása, vízjogi, üzemeltetési engedélyek beszerzése céljából 34.812 eFt összeg került biztosításra. </w:t>
      </w:r>
    </w:p>
    <w:p w14:paraId="68A0D6CB" w14:textId="5319BD87" w:rsidR="00183024" w:rsidRDefault="00183024" w:rsidP="00183024">
      <w:pPr>
        <w:rPr>
          <w:rFonts w:ascii="Calibri" w:hAnsi="Calibri" w:cs="Calibri"/>
          <w:b/>
          <w:bCs/>
          <w:i/>
          <w:iCs/>
          <w:sz w:val="24"/>
          <w:szCs w:val="24"/>
        </w:rPr>
      </w:pPr>
      <w:r w:rsidRPr="007E5110">
        <w:rPr>
          <w:rFonts w:ascii="Calibri" w:hAnsi="Calibri" w:cs="Calibri"/>
          <w:sz w:val="24"/>
          <w:szCs w:val="24"/>
        </w:rPr>
        <w:t xml:space="preserve">    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7E5110">
        <w:rPr>
          <w:rFonts w:ascii="Calibri" w:hAnsi="Calibri" w:cs="Calibri"/>
          <w:b/>
          <w:bCs/>
          <w:i/>
          <w:iCs/>
          <w:sz w:val="24"/>
          <w:szCs w:val="24"/>
        </w:rPr>
        <w:t>(egyenleg: -3</w:t>
      </w:r>
      <w:r w:rsidR="00F61312">
        <w:rPr>
          <w:rFonts w:ascii="Calibri" w:hAnsi="Calibri" w:cs="Calibri"/>
          <w:b/>
          <w:bCs/>
          <w:i/>
          <w:iCs/>
          <w:sz w:val="24"/>
          <w:szCs w:val="24"/>
        </w:rPr>
        <w:t>4</w:t>
      </w:r>
      <w:r w:rsidRPr="007E5110">
        <w:rPr>
          <w:rFonts w:ascii="Calibri" w:hAnsi="Calibri" w:cs="Calibri"/>
          <w:b/>
          <w:bCs/>
          <w:i/>
          <w:iCs/>
          <w:sz w:val="24"/>
          <w:szCs w:val="24"/>
        </w:rPr>
        <w:t xml:space="preserve">.812 eFt) </w:t>
      </w:r>
    </w:p>
    <w:p w14:paraId="334CCE60" w14:textId="77777777" w:rsidR="002F400F" w:rsidRPr="005E2762" w:rsidRDefault="002F400F" w:rsidP="002F400F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29538AF1" w14:textId="3A981424" w:rsidR="00500B0C" w:rsidRPr="00F14DC1" w:rsidRDefault="00500B0C" w:rsidP="00AE7DB8">
      <w:pPr>
        <w:numPr>
          <w:ilvl w:val="0"/>
          <w:numId w:val="7"/>
        </w:numPr>
        <w:rPr>
          <w:rFonts w:ascii="Calibri" w:hAnsi="Calibri" w:cs="Calibri"/>
          <w:b/>
          <w:i/>
          <w:sz w:val="22"/>
          <w:szCs w:val="22"/>
          <w:u w:val="single"/>
        </w:rPr>
      </w:pP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A </w:t>
      </w:r>
      <w:r w:rsidR="00B911D2" w:rsidRPr="00F14DC1">
        <w:rPr>
          <w:rFonts w:ascii="Calibri" w:hAnsi="Calibri" w:cs="Calibri"/>
          <w:b/>
          <w:i/>
          <w:sz w:val="22"/>
          <w:szCs w:val="22"/>
          <w:u w:val="single"/>
        </w:rPr>
        <w:t>közgyűlési</w:t>
      </w:r>
      <w:r w:rsidR="00A26220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határozatok</w:t>
      </w:r>
      <w:r w:rsidR="00242F39">
        <w:rPr>
          <w:rFonts w:ascii="Calibri" w:hAnsi="Calibri" w:cs="Calibri"/>
          <w:b/>
          <w:i/>
          <w:sz w:val="22"/>
          <w:szCs w:val="22"/>
          <w:u w:val="single"/>
        </w:rPr>
        <w:t xml:space="preserve"> és önkormányzati rendelet</w:t>
      </w:r>
      <w:r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alapján biztosított tételek összevont egyenlege: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>-42.600</w:t>
      </w:r>
      <w:r w:rsidR="00E52BF2" w:rsidRPr="00F14DC1">
        <w:rPr>
          <w:rFonts w:ascii="Calibri" w:hAnsi="Calibri" w:cs="Calibri"/>
          <w:b/>
          <w:i/>
          <w:sz w:val="22"/>
          <w:szCs w:val="22"/>
          <w:u w:val="single"/>
        </w:rPr>
        <w:t xml:space="preserve"> eFt</w:t>
      </w:r>
    </w:p>
    <w:p w14:paraId="050614F9" w14:textId="77777777" w:rsidR="00500B0C" w:rsidRDefault="00500B0C" w:rsidP="00500B0C">
      <w:pPr>
        <w:ind w:left="1710"/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BEE8D7" w14:textId="77777777" w:rsidR="005E2762" w:rsidRPr="005E2762" w:rsidRDefault="005E2762" w:rsidP="00AE7DB8">
      <w:pPr>
        <w:keepNext/>
        <w:numPr>
          <w:ilvl w:val="0"/>
          <w:numId w:val="7"/>
        </w:numPr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5E2762">
        <w:rPr>
          <w:rFonts w:ascii="Calibri" w:hAnsi="Calibri" w:cs="Calibri"/>
          <w:b/>
          <w:sz w:val="22"/>
          <w:szCs w:val="22"/>
        </w:rPr>
        <w:lastRenderedPageBreak/>
        <w:t>Közgyűlési döntés</w:t>
      </w:r>
      <w:r w:rsidR="00B24B6C">
        <w:rPr>
          <w:rFonts w:ascii="Calibri" w:hAnsi="Calibri" w:cs="Calibri"/>
          <w:b/>
          <w:sz w:val="22"/>
          <w:szCs w:val="22"/>
        </w:rPr>
        <w:t>t igénylő</w:t>
      </w:r>
      <w:r w:rsidRPr="005E2762">
        <w:rPr>
          <w:rFonts w:ascii="Calibri" w:hAnsi="Calibri" w:cs="Calibri"/>
          <w:b/>
          <w:sz w:val="22"/>
          <w:szCs w:val="22"/>
        </w:rPr>
        <w:t xml:space="preserve"> többletkiadások és források rendezése </w:t>
      </w:r>
    </w:p>
    <w:p w14:paraId="0DF75E98" w14:textId="77777777" w:rsidR="006D1B8C" w:rsidRDefault="006D1B8C" w:rsidP="005E2762">
      <w:pPr>
        <w:keepNext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5E2762" w:rsidRPr="00F17BE7" w14:paraId="4360BDE5" w14:textId="77777777" w:rsidTr="00C50D1D">
        <w:tc>
          <w:tcPr>
            <w:tcW w:w="1237" w:type="dxa"/>
          </w:tcPr>
          <w:p w14:paraId="0EA9444D" w14:textId="77777777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bookmarkStart w:id="1" w:name="_Hlk166585490"/>
            <w:r w:rsidRPr="005E2762">
              <w:rPr>
                <w:rFonts w:ascii="Calibri" w:hAnsi="Calibri" w:cs="Calibri"/>
                <w:b/>
                <w:sz w:val="22"/>
                <w:szCs w:val="22"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14:paraId="0EADE5FD" w14:textId="6BF059C3" w:rsidR="005E2762" w:rsidRP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  <w:r w:rsidR="00513007">
              <w:rPr>
                <w:rFonts w:ascii="Calibri" w:hAnsi="Calibri" w:cs="Calibri"/>
                <w:b/>
                <w:sz w:val="22"/>
                <w:szCs w:val="22"/>
              </w:rPr>
              <w:t xml:space="preserve"> - többletkiadások</w:t>
            </w:r>
          </w:p>
        </w:tc>
        <w:tc>
          <w:tcPr>
            <w:tcW w:w="2387" w:type="dxa"/>
            <w:shd w:val="clear" w:color="auto" w:fill="auto"/>
          </w:tcPr>
          <w:p w14:paraId="425995EE" w14:textId="77777777" w:rsidR="005E2762" w:rsidRDefault="005E2762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</w:p>
          <w:p w14:paraId="405CCE3D" w14:textId="3640CC70" w:rsidR="007B4FFA" w:rsidRPr="005E2762" w:rsidRDefault="007B4FFA" w:rsidP="00C50D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E2762" w:rsidRPr="00F17BE7" w14:paraId="5081DBB3" w14:textId="77777777" w:rsidTr="00C50D1D">
        <w:tc>
          <w:tcPr>
            <w:tcW w:w="1237" w:type="dxa"/>
          </w:tcPr>
          <w:p w14:paraId="7161DBD2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23AFB21" w14:textId="0223D56C" w:rsidR="005E2762" w:rsidRPr="005E2762" w:rsidRDefault="00B3746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4F6A3C">
              <w:rPr>
                <w:rFonts w:ascii="Calibri" w:hAnsi="Calibri" w:cs="Calibri"/>
                <w:sz w:val="22"/>
                <w:szCs w:val="22"/>
              </w:rPr>
              <w:t>gyesített Bölcsődei Intézmény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- bölcsődei udvari játékok cseréje  </w:t>
            </w:r>
          </w:p>
        </w:tc>
        <w:tc>
          <w:tcPr>
            <w:tcW w:w="2387" w:type="dxa"/>
            <w:shd w:val="clear" w:color="auto" w:fill="auto"/>
          </w:tcPr>
          <w:p w14:paraId="4236EF29" w14:textId="547CAD70" w:rsidR="004961A7" w:rsidRPr="000907D9" w:rsidRDefault="000907D9" w:rsidP="000907D9">
            <w:pPr>
              <w:pStyle w:val="Listaszerbekezds"/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</w:t>
            </w:r>
            <w:r w:rsidR="0014414A" w:rsidRPr="000907D9">
              <w:rPr>
                <w:rFonts w:ascii="Calibri" w:hAnsi="Calibri" w:cs="Calibri"/>
                <w:sz w:val="22"/>
                <w:szCs w:val="22"/>
              </w:rPr>
              <w:t>6.345</w:t>
            </w:r>
          </w:p>
        </w:tc>
      </w:tr>
      <w:tr w:rsidR="005E2762" w:rsidRPr="00F17BE7" w14:paraId="2279F29C" w14:textId="77777777" w:rsidTr="00C50D1D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39C5" w14:textId="77777777" w:rsidR="005E2762" w:rsidRPr="005E2762" w:rsidRDefault="005E2762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E2762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5E276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08F1" w14:textId="0AAD5175" w:rsidR="005E2762" w:rsidRPr="005E2762" w:rsidRDefault="00B3746E" w:rsidP="00C50D1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Bokréta bölcsőde (Barátság u.) tűzivíz belső és külső hálózat vezeték cserélési munkák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1142" w14:textId="47422DD1" w:rsidR="004961A7" w:rsidRPr="005E2762" w:rsidRDefault="0014414A" w:rsidP="00C50D1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1.874</w:t>
            </w:r>
          </w:p>
        </w:tc>
      </w:tr>
      <w:tr w:rsidR="005E2762" w:rsidRPr="00F17BE7" w14:paraId="654502D6" w14:textId="77777777" w:rsidTr="00C50D1D">
        <w:tc>
          <w:tcPr>
            <w:tcW w:w="1237" w:type="dxa"/>
          </w:tcPr>
          <w:p w14:paraId="3B5D1826" w14:textId="0A73CF1C" w:rsidR="005E2762" w:rsidRPr="005E2762" w:rsidRDefault="00FC4CAB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5E2762" w:rsidRPr="005E2762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D743C99" w14:textId="71BB7C4D" w:rsidR="006D1B8C" w:rsidRPr="005E2762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Csodaország Bölcsőde - dolgozói étkező kialakítása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F4E98B3" w14:textId="46A67D99" w:rsidR="005E2762" w:rsidRPr="005E2762" w:rsidRDefault="0014414A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8.530</w:t>
            </w:r>
          </w:p>
        </w:tc>
      </w:tr>
      <w:tr w:rsidR="000907D9" w:rsidRPr="00F17BE7" w14:paraId="60D799EB" w14:textId="77777777" w:rsidTr="00C50D1D">
        <w:tc>
          <w:tcPr>
            <w:tcW w:w="1237" w:type="dxa"/>
          </w:tcPr>
          <w:p w14:paraId="0C43F8A9" w14:textId="7BA9F287" w:rsidR="000907D9" w:rsidRDefault="007B4FFA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26A7198E" w14:textId="18522D1F" w:rsidR="000907D9" w:rsidRPr="00B3746E" w:rsidRDefault="000907D9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Napraforgó Bölcsőde – festés és kültéri mázolás</w:t>
            </w:r>
            <w:r w:rsidR="007559A4">
              <w:rPr>
                <w:rFonts w:ascii="Calibri" w:hAnsi="Calibri" w:cs="Calibri"/>
                <w:sz w:val="22"/>
                <w:szCs w:val="22"/>
              </w:rPr>
              <w:t>, valamint gyermekfürdető felújításának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38C1A3D" w14:textId="082A249E" w:rsidR="000907D9" w:rsidRDefault="007559A4" w:rsidP="006D1B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20.000</w:t>
            </w:r>
          </w:p>
        </w:tc>
      </w:tr>
      <w:tr w:rsidR="006D1B8C" w:rsidRPr="00F17BE7" w14:paraId="42E3691B" w14:textId="77777777" w:rsidTr="000D746A">
        <w:trPr>
          <w:trHeight w:val="566"/>
        </w:trPr>
        <w:tc>
          <w:tcPr>
            <w:tcW w:w="1237" w:type="dxa"/>
          </w:tcPr>
          <w:p w14:paraId="238AB698" w14:textId="7FA55A6D" w:rsidR="006D1B8C" w:rsidRPr="005E2762" w:rsidRDefault="007B4FFA" w:rsidP="00C50D1D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6D1B8C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99EC31F" w14:textId="4F483016" w:rsidR="00643124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gészségügyi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és Kulturális GESZ </w:t>
            </w:r>
            <w:r w:rsidR="00BB32FB">
              <w:rPr>
                <w:rFonts w:ascii="Calibri" w:hAnsi="Calibri" w:cs="Calibri"/>
                <w:sz w:val="22"/>
                <w:szCs w:val="22"/>
              </w:rPr>
              <w:t>–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az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egészségügyi dolgozók illetményemelése 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256/2013.(VII.5.) korm.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rend</w:t>
            </w:r>
            <w:r w:rsidR="00BB32FB">
              <w:rPr>
                <w:rFonts w:ascii="Calibri" w:hAnsi="Calibri" w:cs="Calibri"/>
                <w:sz w:val="22"/>
                <w:szCs w:val="22"/>
              </w:rPr>
              <w:t>elet</w:t>
            </w:r>
            <w:r w:rsidR="00A125F0">
              <w:rPr>
                <w:rFonts w:ascii="Calibri" w:hAnsi="Calibri" w:cs="Calibri"/>
                <w:sz w:val="22"/>
                <w:szCs w:val="22"/>
              </w:rPr>
              <w:t xml:space="preserve"> módosítása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alapján</w:t>
            </w:r>
            <w:r w:rsidR="00BB32FB">
              <w:rPr>
                <w:rFonts w:ascii="Calibri" w:hAnsi="Calibri" w:cs="Calibri"/>
                <w:sz w:val="22"/>
                <w:szCs w:val="22"/>
              </w:rPr>
              <w:t xml:space="preserve"> mely jelent esetben 16 fő iskolavédőnő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 bérezésével kapcsolatban jelentkező többlettámogatási igény</w:t>
            </w:r>
            <w:r w:rsidR="00A125F0">
              <w:rPr>
                <w:rFonts w:ascii="Calibri" w:hAnsi="Calibri" w:cs="Calibri"/>
                <w:sz w:val="22"/>
                <w:szCs w:val="22"/>
              </w:rPr>
              <w:t>t jelent</w:t>
            </w:r>
            <w:r w:rsidR="00643124">
              <w:rPr>
                <w:rFonts w:ascii="Calibri" w:hAnsi="Calibri" w:cs="Calibri"/>
                <w:sz w:val="22"/>
                <w:szCs w:val="22"/>
              </w:rPr>
              <w:t>, mivel a NEAK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finanszírozás nem fedezi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 le 100%-ban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a teljes bértöbbletkiadást</w:t>
            </w:r>
            <w:r w:rsidR="0064312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B8B9972" w14:textId="0983E37A" w:rsidR="000D746A" w:rsidRDefault="00643124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Továbbá 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 xml:space="preserve">10 fő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közalkalmazotti jogviszonyban lévő 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 xml:space="preserve">GESZ dolgozó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illetménytöbbletének a fedezete kerül biztosításra (9 hónapra), a munkaerő megtartás érdekében.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CEE6221" w14:textId="77777777" w:rsidR="000D746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5.413</w:t>
            </w:r>
          </w:p>
          <w:p w14:paraId="2CD39371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0FA6AA8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4AE6808C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7EB429E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7E3C749F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D41B79" w14:textId="77777777" w:rsidR="0014414A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BB8FD8A" w14:textId="2A5CA5BA" w:rsidR="0014414A" w:rsidRPr="005E2762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2.695</w:t>
            </w:r>
          </w:p>
        </w:tc>
      </w:tr>
      <w:tr w:rsidR="006D1B8C" w:rsidRPr="00F17BE7" w14:paraId="21AD906C" w14:textId="77777777" w:rsidTr="00C50D1D">
        <w:tc>
          <w:tcPr>
            <w:tcW w:w="1237" w:type="dxa"/>
          </w:tcPr>
          <w:p w14:paraId="2943FFB6" w14:textId="697B7688" w:rsidR="006D1B8C" w:rsidRPr="005E2762" w:rsidRDefault="007B4FFA" w:rsidP="007B4FFA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0B5A6DC" w14:textId="0B800213" w:rsidR="000D746A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E</w:t>
            </w:r>
            <w:r w:rsidR="00643124">
              <w:rPr>
                <w:rFonts w:ascii="Calibri" w:hAnsi="Calibri" w:cs="Calibri"/>
                <w:sz w:val="22"/>
                <w:szCs w:val="22"/>
              </w:rPr>
              <w:t>gészség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ü</w:t>
            </w:r>
            <w:r w:rsidR="00643124">
              <w:rPr>
                <w:rFonts w:ascii="Calibri" w:hAnsi="Calibri" w:cs="Calibri"/>
                <w:sz w:val="22"/>
                <w:szCs w:val="22"/>
              </w:rPr>
              <w:t xml:space="preserve">gyi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és Kulturális GESZ - fogo</w:t>
            </w:r>
            <w:r w:rsidR="00643124">
              <w:rPr>
                <w:rFonts w:ascii="Calibri" w:hAnsi="Calibri" w:cs="Calibri"/>
                <w:sz w:val="22"/>
                <w:szCs w:val="22"/>
              </w:rPr>
              <w:t>r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vosi praxis</w:t>
            </w:r>
            <w:r w:rsidR="00643124">
              <w:rPr>
                <w:rFonts w:ascii="Calibri" w:hAnsi="Calibri" w:cs="Calibri"/>
                <w:sz w:val="22"/>
                <w:szCs w:val="22"/>
              </w:rPr>
              <w:t>ban történő helyettesítési díj fedezetének biztosítása.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12EF65A" w14:textId="1B749441" w:rsidR="006D1B8C" w:rsidRPr="005E2762" w:rsidRDefault="0014414A" w:rsidP="000D746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2.816</w:t>
            </w:r>
          </w:p>
        </w:tc>
      </w:tr>
      <w:tr w:rsidR="006D5F25" w:rsidRPr="00F17BE7" w14:paraId="3618A479" w14:textId="77777777" w:rsidTr="00C50D1D">
        <w:tc>
          <w:tcPr>
            <w:tcW w:w="1237" w:type="dxa"/>
          </w:tcPr>
          <w:p w14:paraId="39541722" w14:textId="7C4A8EF4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A084DCA" w14:textId="05DFD868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Temetkezési Kft.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B9D2170" w14:textId="01CDAD61" w:rsidR="006D5F25" w:rsidRPr="005E2762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10.000</w:t>
            </w:r>
          </w:p>
        </w:tc>
      </w:tr>
      <w:tr w:rsidR="006D5F25" w:rsidRPr="00F17BE7" w14:paraId="44756344" w14:textId="77777777" w:rsidTr="00C50D1D">
        <w:tc>
          <w:tcPr>
            <w:tcW w:w="1237" w:type="dxa"/>
          </w:tcPr>
          <w:p w14:paraId="6A6A872D" w14:textId="67C9226D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FC4CA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3D0C5A8" w14:textId="157BDEBC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Évközi tervezések, útfelújítás tervezések, egyéb tervezések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B3B7E9E" w14:textId="4E455603" w:rsidR="006D5F25" w:rsidRPr="005E2762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5.000</w:t>
            </w:r>
          </w:p>
        </w:tc>
      </w:tr>
      <w:tr w:rsidR="006D5F25" w:rsidRPr="00F17BE7" w14:paraId="41E5EDCD" w14:textId="77777777" w:rsidTr="00C50D1D">
        <w:tc>
          <w:tcPr>
            <w:tcW w:w="1237" w:type="dxa"/>
          </w:tcPr>
          <w:p w14:paraId="666E08CF" w14:textId="24C0ADED" w:rsidR="006D5F25" w:rsidRPr="005E2762" w:rsidRDefault="002069BD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BA8168" w14:textId="3BE27E43" w:rsidR="006D5F25" w:rsidRDefault="00B3746E" w:rsidP="006D1B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Berzsenyi D. Könyvtár </w:t>
            </w:r>
            <w:r w:rsidR="009621B9">
              <w:rPr>
                <w:rFonts w:ascii="Calibri" w:hAnsi="Calibri" w:cs="Calibri"/>
                <w:sz w:val="22"/>
                <w:szCs w:val="22"/>
              </w:rPr>
              <w:t>–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jogszabály alapján kifizetendő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 xml:space="preserve">40 éves jubileumi jutalom 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fedezetének biztosítása.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08ED09D" w14:textId="6FF1853A" w:rsidR="006D5F25" w:rsidRPr="005E2762" w:rsidRDefault="0014414A" w:rsidP="006D5F25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2.407</w:t>
            </w:r>
          </w:p>
        </w:tc>
      </w:tr>
      <w:tr w:rsidR="00D21214" w:rsidRPr="00F17BE7" w14:paraId="6D359771" w14:textId="77777777" w:rsidTr="00C50D1D">
        <w:tc>
          <w:tcPr>
            <w:tcW w:w="1237" w:type="dxa"/>
          </w:tcPr>
          <w:p w14:paraId="2CE0B85A" w14:textId="57356AFF" w:rsidR="00D21214" w:rsidRDefault="00D2121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0D173B" w14:textId="42D8666E" w:rsidR="00D21214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Bűnmegelőzési és katasztrófavédelmi kiadások, egyéb kiadások, támogatások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tétel előirányzatának megemelése.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454117A9" w14:textId="367AC7E1" w:rsidR="00D21214" w:rsidRPr="00EB30C1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500</w:t>
            </w:r>
          </w:p>
        </w:tc>
      </w:tr>
      <w:tr w:rsidR="00D21214" w:rsidRPr="00F17BE7" w14:paraId="4829DD7B" w14:textId="77777777" w:rsidTr="00C50D1D">
        <w:tc>
          <w:tcPr>
            <w:tcW w:w="1237" w:type="dxa"/>
          </w:tcPr>
          <w:p w14:paraId="3BFFBD37" w14:textId="11B0C7CD" w:rsidR="00D21214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D0AC7DC" w14:textId="3F2ACB51" w:rsidR="00D21214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 xml:space="preserve">Polgármesteri Hivatal - adóhatósági feladatok </w:t>
            </w:r>
            <w:r w:rsidR="009621B9">
              <w:rPr>
                <w:rFonts w:ascii="Calibri" w:hAnsi="Calibri" w:cs="Calibri"/>
                <w:sz w:val="22"/>
                <w:szCs w:val="22"/>
              </w:rPr>
              <w:t>kiadásainak biztosítása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A23DCF" w14:textId="0FE0D25F" w:rsidR="00D21214" w:rsidRPr="00EB30C1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7.047</w:t>
            </w:r>
          </w:p>
        </w:tc>
      </w:tr>
      <w:tr w:rsidR="006D5F25" w:rsidRPr="00F17BE7" w14:paraId="1D58548C" w14:textId="77777777" w:rsidTr="00C50D1D">
        <w:tc>
          <w:tcPr>
            <w:tcW w:w="1237" w:type="dxa"/>
          </w:tcPr>
          <w:p w14:paraId="092282C4" w14:textId="4ED7B42F" w:rsidR="006D5F25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D5F25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BFF584C" w14:textId="08464944" w:rsidR="006D5F25" w:rsidRPr="006D5F25" w:rsidRDefault="009621B9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B3746E" w:rsidRPr="00B3746E">
              <w:rPr>
                <w:rFonts w:ascii="Calibri" w:hAnsi="Calibri" w:cs="Calibri"/>
                <w:sz w:val="22"/>
                <w:szCs w:val="22"/>
              </w:rPr>
              <w:t>gyéb lakásgazdálkodási és szociális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DEB0CD6" w14:textId="16463697" w:rsidR="006D5F25" w:rsidRPr="00D21214" w:rsidRDefault="0014414A" w:rsidP="006D1B8C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</w:tr>
      <w:tr w:rsidR="00EB30C1" w:rsidRPr="00F17BE7" w14:paraId="4A053D2E" w14:textId="77777777" w:rsidTr="00C50D1D">
        <w:tc>
          <w:tcPr>
            <w:tcW w:w="1237" w:type="dxa"/>
          </w:tcPr>
          <w:p w14:paraId="60B03A6D" w14:textId="5C14218D" w:rsidR="00EB30C1" w:rsidRDefault="00EB30C1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3BE50F2" w14:textId="62735E2C" w:rsidR="00EB30C1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Zárt csapadék csatorna fenntartása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csapadékcsatorna gépi mosatás</w:t>
            </w:r>
            <w:r w:rsidR="009621B9">
              <w:rPr>
                <w:rFonts w:ascii="Calibri" w:hAnsi="Calibri" w:cs="Calibri"/>
                <w:sz w:val="22"/>
                <w:szCs w:val="22"/>
              </w:rPr>
              <w:t>ának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7343C97" w14:textId="506D20FF" w:rsidR="00EB30C1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2.000</w:t>
            </w:r>
          </w:p>
        </w:tc>
      </w:tr>
      <w:tr w:rsidR="00B3746E" w:rsidRPr="00F17BE7" w14:paraId="638F2238" w14:textId="77777777" w:rsidTr="00C50D1D">
        <w:tc>
          <w:tcPr>
            <w:tcW w:w="1237" w:type="dxa"/>
          </w:tcPr>
          <w:p w14:paraId="2BB299B3" w14:textId="4D9718A6" w:rsidR="00B3746E" w:rsidRDefault="00B3746E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DBF1F9F" w14:textId="0F3DDE9C" w:rsidR="00B3746E" w:rsidRDefault="00B3746E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3746E">
              <w:rPr>
                <w:rFonts w:ascii="Calibri" w:hAnsi="Calibri" w:cs="Calibri"/>
                <w:sz w:val="22"/>
                <w:szCs w:val="22"/>
              </w:rPr>
              <w:t>Zárt csapadék csatorna fenntartása</w:t>
            </w:r>
            <w:r w:rsidR="009621B9">
              <w:rPr>
                <w:rFonts w:ascii="Calibri" w:hAnsi="Calibri" w:cs="Calibri"/>
                <w:sz w:val="22"/>
                <w:szCs w:val="22"/>
              </w:rPr>
              <w:t xml:space="preserve"> - </w:t>
            </w:r>
            <w:r w:rsidRPr="00B3746E">
              <w:rPr>
                <w:rFonts w:ascii="Calibri" w:hAnsi="Calibri" w:cs="Calibri"/>
                <w:sz w:val="22"/>
                <w:szCs w:val="22"/>
              </w:rPr>
              <w:t>csapadékcsatorna üzemeltetési feladatai</w:t>
            </w:r>
            <w:r w:rsidR="009621B9">
              <w:rPr>
                <w:rFonts w:ascii="Calibri" w:hAnsi="Calibri" w:cs="Calibri"/>
                <w:sz w:val="22"/>
                <w:szCs w:val="22"/>
              </w:rPr>
              <w:t>nak költségei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2D0E6D" w14:textId="0924F2F3" w:rsidR="00B3746E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14.000</w:t>
            </w:r>
          </w:p>
        </w:tc>
      </w:tr>
      <w:tr w:rsidR="00B3746E" w:rsidRPr="00F17BE7" w14:paraId="1456F5D0" w14:textId="77777777" w:rsidTr="00C50D1D">
        <w:tc>
          <w:tcPr>
            <w:tcW w:w="1237" w:type="dxa"/>
          </w:tcPr>
          <w:p w14:paraId="47F0A7B5" w14:textId="744669E2" w:rsidR="00B3746E" w:rsidRDefault="006E70EB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765EA7A9" w14:textId="1B615B25" w:rsidR="00B3746E" w:rsidRDefault="006E70EB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E70EB">
              <w:rPr>
                <w:rFonts w:ascii="Calibri" w:hAnsi="Calibri" w:cs="Calibri"/>
                <w:sz w:val="22"/>
                <w:szCs w:val="22"/>
              </w:rPr>
              <w:t>Savaria Karnevál megrendezése, kulturális rendezvények, fesztiválok megrendezése (Savaria Turizmus Nkft., egyéb kiadások, stb.)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 w:rsidRPr="00BC658A">
              <w:rPr>
                <w:rFonts w:ascii="Calibri" w:hAnsi="Calibri" w:cs="Calibri"/>
                <w:b/>
                <w:bCs/>
                <w:sz w:val="22"/>
                <w:szCs w:val="22"/>
              </w:rPr>
              <w:t>azzal a kikötéssel</w:t>
            </w:r>
            <w:r w:rsidR="00B158B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hogy </w:t>
            </w:r>
            <w:r w:rsidRPr="00BC658A">
              <w:rPr>
                <w:rFonts w:ascii="Calibri" w:hAnsi="Calibri" w:cs="Calibri"/>
                <w:b/>
                <w:bCs/>
                <w:sz w:val="22"/>
                <w:szCs w:val="22"/>
              </w:rPr>
              <w:t>amennyiben a rendezvényt támogató szervezettel az egyeztetés eredményes, abban az esetben nem szükséges a jelen rendeletmódosításban biztosított önkormányzati többlettámogatás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8530797" w14:textId="5A9ABB56" w:rsidR="00B3746E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19.000</w:t>
            </w:r>
          </w:p>
        </w:tc>
      </w:tr>
      <w:tr w:rsidR="006E70EB" w:rsidRPr="00F17BE7" w14:paraId="705ADBF6" w14:textId="77777777" w:rsidTr="00C50D1D">
        <w:tc>
          <w:tcPr>
            <w:tcW w:w="1237" w:type="dxa"/>
          </w:tcPr>
          <w:p w14:paraId="00DD3200" w14:textId="0C372C3A" w:rsidR="006E70EB" w:rsidRDefault="006E70EB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0D3D1F0" w14:textId="51E6F6BE" w:rsidR="006E70EB" w:rsidRPr="006E70EB" w:rsidRDefault="006E70EB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6E70EB">
              <w:rPr>
                <w:rFonts w:ascii="Calibri" w:hAnsi="Calibri" w:cs="Calibri"/>
                <w:sz w:val="22"/>
                <w:szCs w:val="22"/>
              </w:rPr>
              <w:t>gyéb kulturális rendezvények - Bloomsday programok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929B6EA" w14:textId="21C7FC40" w:rsidR="006E70EB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1.000</w:t>
            </w:r>
          </w:p>
        </w:tc>
      </w:tr>
      <w:tr w:rsidR="00513007" w:rsidRPr="00F17BE7" w14:paraId="2C420E0F" w14:textId="77777777" w:rsidTr="00C50D1D">
        <w:tc>
          <w:tcPr>
            <w:tcW w:w="1237" w:type="dxa"/>
          </w:tcPr>
          <w:p w14:paraId="5D40F1A3" w14:textId="45F14801" w:rsidR="00513007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069BD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1F82DC26" w14:textId="74A0846A" w:rsidR="00513007" w:rsidRDefault="00513007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3007">
              <w:rPr>
                <w:rFonts w:ascii="Calibri" w:hAnsi="Calibri" w:cs="Calibri"/>
                <w:sz w:val="22"/>
                <w:szCs w:val="22"/>
              </w:rPr>
              <w:t>Nyugat</w:t>
            </w:r>
            <w:r w:rsidR="00B158BD">
              <w:rPr>
                <w:rFonts w:ascii="Calibri" w:hAnsi="Calibri" w:cs="Calibri"/>
                <w:sz w:val="22"/>
                <w:szCs w:val="22"/>
              </w:rPr>
              <w:t>-d</w:t>
            </w:r>
            <w:r w:rsidRPr="00513007">
              <w:rPr>
                <w:rFonts w:ascii="Calibri" w:hAnsi="Calibri" w:cs="Calibri"/>
                <w:sz w:val="22"/>
                <w:szCs w:val="22"/>
              </w:rPr>
              <w:t>unántúli Regionális Hulladékgazdálkodási Önkormányzati Társulás működési hozzájárulás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A4460CA" w14:textId="51729D0E" w:rsidR="00513007" w:rsidRPr="00D21214" w:rsidRDefault="0014414A" w:rsidP="0014414A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28.632</w:t>
            </w:r>
          </w:p>
        </w:tc>
      </w:tr>
      <w:tr w:rsidR="003B2A1D" w:rsidRPr="00F17BE7" w14:paraId="70B0EEB4" w14:textId="77777777" w:rsidTr="00C50D1D">
        <w:tc>
          <w:tcPr>
            <w:tcW w:w="1237" w:type="dxa"/>
          </w:tcPr>
          <w:p w14:paraId="22E1B1C8" w14:textId="75CC06A1" w:rsidR="003B2A1D" w:rsidRDefault="006206EF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18</w:t>
            </w:r>
            <w:r w:rsidR="003B2A1D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76E11B5" w14:textId="75C0D661" w:rsidR="003B2A1D" w:rsidRPr="00513007" w:rsidRDefault="003B2A1D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B2A1D">
              <w:rPr>
                <w:rFonts w:ascii="Calibri" w:hAnsi="Calibri" w:cs="Calibri"/>
                <w:sz w:val="22"/>
                <w:szCs w:val="22"/>
              </w:rPr>
              <w:t>Nyugat</w:t>
            </w:r>
            <w:r w:rsidR="00B158BD">
              <w:rPr>
                <w:rFonts w:ascii="Calibri" w:hAnsi="Calibri" w:cs="Calibri"/>
                <w:sz w:val="22"/>
                <w:szCs w:val="22"/>
              </w:rPr>
              <w:t>-d</w:t>
            </w:r>
            <w:r w:rsidRPr="003B2A1D">
              <w:rPr>
                <w:rFonts w:ascii="Calibri" w:hAnsi="Calibri" w:cs="Calibri"/>
                <w:sz w:val="22"/>
                <w:szCs w:val="22"/>
              </w:rPr>
              <w:t>unántúli Regionális Hulladékgazdálkodási Önkormányzati Társulástól támogatás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 kapunk 23.860 eFt összegben, amelyet a támogatási szerződés alapján meghatározott célra kell felhasználni, szintén 23.860 eFt összegben.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64AA349A" w14:textId="47ECFECE" w:rsidR="003B2A1D" w:rsidRDefault="003B2A1D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1E7988" w:rsidRPr="00F17BE7" w14:paraId="371DB342" w14:textId="77777777" w:rsidTr="00C50D1D">
        <w:tc>
          <w:tcPr>
            <w:tcW w:w="1237" w:type="dxa"/>
          </w:tcPr>
          <w:p w14:paraId="44A1C4BC" w14:textId="785FED40" w:rsidR="001E7988" w:rsidRDefault="006206EF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99149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D053618" w14:textId="7A3A518B" w:rsidR="001E7988" w:rsidRPr="00513007" w:rsidRDefault="005B32CD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Polgármesteri Hivatal - </w:t>
            </w:r>
            <w:r w:rsidRPr="005B32CD">
              <w:rPr>
                <w:rFonts w:ascii="Calibri" w:hAnsi="Calibri" w:cs="Calibri"/>
                <w:sz w:val="22"/>
                <w:szCs w:val="22"/>
              </w:rPr>
              <w:t xml:space="preserve">A Kossuth L. u. 1-3. épület déli és keleti oldal hűtését szolgáló meghibásodott és javíthatatlan klímaberendezés cseréjének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további </w:t>
            </w:r>
            <w:r w:rsidRPr="005B32CD">
              <w:rPr>
                <w:rFonts w:ascii="Calibri" w:hAnsi="Calibri" w:cs="Calibri"/>
                <w:sz w:val="22"/>
                <w:szCs w:val="22"/>
              </w:rPr>
              <w:t>költsége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1BF8E95F" w14:textId="3E2DBF21" w:rsidR="001E7988" w:rsidRPr="00D21214" w:rsidRDefault="0014414A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14.000</w:t>
            </w:r>
          </w:p>
        </w:tc>
      </w:tr>
      <w:tr w:rsidR="007E4435" w:rsidRPr="00F17BE7" w14:paraId="0EF26E39" w14:textId="77777777" w:rsidTr="00C50D1D">
        <w:tc>
          <w:tcPr>
            <w:tcW w:w="1237" w:type="dxa"/>
          </w:tcPr>
          <w:p w14:paraId="3030656A" w14:textId="726C41E3" w:rsidR="007E4435" w:rsidRDefault="007E4435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BAF699A" w14:textId="002789F8" w:rsidR="007E4435" w:rsidRDefault="007E4435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E4435">
              <w:rPr>
                <w:rFonts w:ascii="Calibri" w:hAnsi="Calibri" w:cs="Calibri"/>
                <w:sz w:val="22"/>
                <w:szCs w:val="22"/>
              </w:rPr>
              <w:t>Fenntartható Energia és Klímavédelmi Cselekvési Terv felülvizsgálata (SECAP)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23730779" w14:textId="04EA1568" w:rsidR="007E4435" w:rsidRDefault="007E4435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3.500</w:t>
            </w:r>
          </w:p>
        </w:tc>
      </w:tr>
      <w:tr w:rsidR="00D936F8" w:rsidRPr="00F17BE7" w14:paraId="575B0D72" w14:textId="77777777" w:rsidTr="00C50D1D">
        <w:tc>
          <w:tcPr>
            <w:tcW w:w="1237" w:type="dxa"/>
          </w:tcPr>
          <w:p w14:paraId="47F49E61" w14:textId="385608DE" w:rsidR="00D936F8" w:rsidRDefault="00D936F8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0E6CDAFD" w14:textId="0A40E649" w:rsidR="00D936F8" w:rsidRPr="007E4435" w:rsidRDefault="00D936F8" w:rsidP="00537C1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36F8">
              <w:rPr>
                <w:rFonts w:ascii="Calibri" w:hAnsi="Calibri" w:cs="Calibri"/>
                <w:sz w:val="22"/>
                <w:szCs w:val="22"/>
              </w:rPr>
              <w:t>Vadvirág utcai Polgárjogi Társaság támogatása - Vadvirág u. helyreállítása céljából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0119D708" w14:textId="52F03B02" w:rsidR="00D936F8" w:rsidRDefault="00D936F8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18.411</w:t>
            </w:r>
          </w:p>
        </w:tc>
      </w:tr>
      <w:tr w:rsidR="00537C1C" w:rsidRPr="00F17BE7" w14:paraId="5FA6A3ED" w14:textId="77777777" w:rsidTr="00C50D1D">
        <w:tc>
          <w:tcPr>
            <w:tcW w:w="1237" w:type="dxa"/>
          </w:tcPr>
          <w:p w14:paraId="71E8F684" w14:textId="77777777" w:rsidR="00537C1C" w:rsidRDefault="00537C1C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E5B7620" w14:textId="06C68941" w:rsidR="00991494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936F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65CF5BFA" w14:textId="7B238D41" w:rsidR="00537C1C" w:rsidRDefault="00537C1C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37C1C">
              <w:rPr>
                <w:rFonts w:ascii="Calibri" w:hAnsi="Calibri" w:cs="Calibri"/>
                <w:sz w:val="22"/>
                <w:szCs w:val="22"/>
              </w:rPr>
              <w:t>Tartalék - közétkeztetési rezsi kulcs emelésből adódó többletkiadások fedezetére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F08620E" w14:textId="7C63E1E2" w:rsidR="00537C1C" w:rsidRPr="00D21214" w:rsidRDefault="00D936F8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73.089</w:t>
            </w:r>
          </w:p>
        </w:tc>
      </w:tr>
      <w:tr w:rsidR="001E7988" w:rsidRPr="00F17BE7" w14:paraId="22C35C16" w14:textId="77777777" w:rsidTr="00C50D1D">
        <w:tc>
          <w:tcPr>
            <w:tcW w:w="1237" w:type="dxa"/>
          </w:tcPr>
          <w:p w14:paraId="60126EF6" w14:textId="64F52BA7" w:rsidR="001E7988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3E37CFC0" w14:textId="4629D12B" w:rsidR="001E7988" w:rsidRPr="00513007" w:rsidRDefault="001E798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88">
              <w:rPr>
                <w:rFonts w:ascii="Calibri" w:hAnsi="Calibri" w:cs="Calibri"/>
                <w:sz w:val="22"/>
                <w:szCs w:val="22"/>
              </w:rPr>
              <w:t>Segély önkormányzati támogatásból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7E29C04E" w14:textId="6BAE8AF6" w:rsidR="001E7988" w:rsidRPr="00D21214" w:rsidRDefault="000907D9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14414A">
              <w:rPr>
                <w:rFonts w:ascii="Calibri" w:hAnsi="Calibri" w:cs="Calibri"/>
                <w:sz w:val="22"/>
                <w:szCs w:val="22"/>
              </w:rPr>
              <w:t>0.000</w:t>
            </w:r>
          </w:p>
        </w:tc>
      </w:tr>
      <w:tr w:rsidR="001E7988" w:rsidRPr="00F17BE7" w14:paraId="4BA98F44" w14:textId="77777777" w:rsidTr="00C50D1D">
        <w:tc>
          <w:tcPr>
            <w:tcW w:w="1237" w:type="dxa"/>
          </w:tcPr>
          <w:p w14:paraId="318BBD68" w14:textId="73B37520" w:rsidR="001E7988" w:rsidRDefault="00991494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58EE00F1" w14:textId="2F09AB64" w:rsidR="001E7988" w:rsidRPr="00513007" w:rsidRDefault="001E7988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E7988">
              <w:rPr>
                <w:rFonts w:ascii="Calibri" w:hAnsi="Calibri" w:cs="Calibri"/>
                <w:sz w:val="22"/>
                <w:szCs w:val="22"/>
              </w:rPr>
              <w:t>Általános tartalék</w:t>
            </w:r>
            <w:r w:rsidRPr="001E7988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3DA7064D" w14:textId="27630E90" w:rsidR="001E7988" w:rsidRPr="00D21214" w:rsidRDefault="00AA4A63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7.163</w:t>
            </w:r>
          </w:p>
        </w:tc>
      </w:tr>
      <w:tr w:rsidR="000907D9" w:rsidRPr="00F17BE7" w14:paraId="457CFA06" w14:textId="77777777" w:rsidTr="00C50D1D">
        <w:tc>
          <w:tcPr>
            <w:tcW w:w="1237" w:type="dxa"/>
          </w:tcPr>
          <w:p w14:paraId="37F81F21" w14:textId="33A0231D" w:rsidR="000907D9" w:rsidRDefault="007B4FFA" w:rsidP="006D1B8C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206EF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14:paraId="44CF0204" w14:textId="713F7CBD" w:rsidR="000907D9" w:rsidRPr="001E7988" w:rsidRDefault="000907D9" w:rsidP="006D5F2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Helyi iparűzési adóbevétel </w:t>
            </w:r>
            <w:r w:rsidR="006377BA">
              <w:rPr>
                <w:rFonts w:ascii="Calibri" w:hAnsi="Calibri" w:cs="Calibri"/>
                <w:sz w:val="22"/>
                <w:szCs w:val="22"/>
              </w:rPr>
              <w:t xml:space="preserve">előirányzatának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csökkentése </w:t>
            </w:r>
            <w:r w:rsidR="006377BA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6377BA">
              <w:rPr>
                <w:rFonts w:ascii="Calibri" w:hAnsi="Calibri" w:cs="Calibri"/>
                <w:sz w:val="22"/>
                <w:szCs w:val="22"/>
              </w:rPr>
              <w:t>z önkormányzati bevételek teljesítésében meglévő esetleges kockázatok mérséklése okán)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387" w:type="dxa"/>
            <w:shd w:val="clear" w:color="auto" w:fill="auto"/>
            <w:vAlign w:val="center"/>
          </w:tcPr>
          <w:p w14:paraId="548D22CD" w14:textId="38841716" w:rsidR="000907D9" w:rsidRDefault="000907D9" w:rsidP="00EB30C1">
            <w:pPr>
              <w:ind w:left="720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-400.000</w:t>
            </w:r>
          </w:p>
        </w:tc>
      </w:tr>
      <w:tr w:rsidR="006D1B8C" w:rsidRPr="00F17BE7" w14:paraId="4389CC28" w14:textId="77777777" w:rsidTr="00C50D1D">
        <w:tc>
          <w:tcPr>
            <w:tcW w:w="1237" w:type="dxa"/>
          </w:tcPr>
          <w:p w14:paraId="4608DCC3" w14:textId="77777777" w:rsidR="006D1B8C" w:rsidRPr="005E2762" w:rsidRDefault="006D1B8C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840" w:type="dxa"/>
            <w:shd w:val="clear" w:color="auto" w:fill="auto"/>
          </w:tcPr>
          <w:p w14:paraId="5D09F084" w14:textId="533D218D" w:rsidR="006D1B8C" w:rsidRPr="005E2762" w:rsidRDefault="00FC4CAB" w:rsidP="006D1B8C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2387" w:type="dxa"/>
            <w:shd w:val="clear" w:color="auto" w:fill="auto"/>
          </w:tcPr>
          <w:p w14:paraId="615CE353" w14:textId="4BC59037" w:rsidR="006D1B8C" w:rsidRPr="00947D5F" w:rsidRDefault="003B2A1D" w:rsidP="006D1B8C">
            <w:pPr>
              <w:ind w:left="720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693.438</w:t>
            </w:r>
          </w:p>
        </w:tc>
      </w:tr>
      <w:bookmarkEnd w:id="1"/>
    </w:tbl>
    <w:p w14:paraId="713FD526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5506A34D" w14:textId="77777777" w:rsidR="00354644" w:rsidRDefault="00354644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</w:rPr>
      </w:pPr>
    </w:p>
    <w:p w14:paraId="2B691EC6" w14:textId="709DCFF5" w:rsidR="00947D5F" w:rsidRPr="00947D5F" w:rsidRDefault="00947D5F" w:rsidP="00947D5F">
      <w:pPr>
        <w:keepNext/>
        <w:ind w:left="709" w:hanging="283"/>
        <w:jc w:val="both"/>
        <w:outlineLvl w:val="7"/>
        <w:rPr>
          <w:rFonts w:ascii="Calibri" w:hAnsi="Calibri" w:cs="Calibri"/>
          <w:b/>
          <w:i/>
          <w:sz w:val="22"/>
          <w:szCs w:val="22"/>
          <w:u w:val="single"/>
        </w:rPr>
      </w:pPr>
      <w:r w:rsidRPr="00947D5F">
        <w:rPr>
          <w:rFonts w:ascii="Calibri" w:hAnsi="Calibri" w:cs="Calibri"/>
          <w:b/>
          <w:i/>
          <w:sz w:val="22"/>
          <w:szCs w:val="22"/>
        </w:rPr>
        <w:t>IV.</w:t>
      </w:r>
      <w:r w:rsidR="00CA57CE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Közgyűlési döntés</w:t>
      </w:r>
      <w:r w:rsidR="00B24B6C">
        <w:rPr>
          <w:rFonts w:ascii="Calibri" w:hAnsi="Calibri" w:cs="Calibri"/>
          <w:b/>
          <w:i/>
          <w:sz w:val="22"/>
          <w:szCs w:val="22"/>
          <w:u w:val="single"/>
        </w:rPr>
        <w:t>t igénylő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többletki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adások és források rendezésének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összevont egyenlege</w:t>
      </w:r>
      <w:r>
        <w:rPr>
          <w:rFonts w:ascii="Calibri" w:hAnsi="Calibri" w:cs="Calibri"/>
          <w:b/>
          <w:i/>
          <w:sz w:val="22"/>
          <w:szCs w:val="22"/>
          <w:u w:val="single"/>
        </w:rPr>
        <w:t>: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 xml:space="preserve">  </w:t>
      </w:r>
      <w:r w:rsidR="0014414A">
        <w:rPr>
          <w:rFonts w:ascii="Calibri" w:hAnsi="Calibri" w:cs="Calibri"/>
          <w:b/>
          <w:i/>
          <w:sz w:val="22"/>
          <w:szCs w:val="22"/>
          <w:u w:val="single"/>
        </w:rPr>
        <w:t xml:space="preserve">-693.438 </w:t>
      </w:r>
      <w:r w:rsidRPr="00947D5F">
        <w:rPr>
          <w:rFonts w:ascii="Calibri" w:hAnsi="Calibri" w:cs="Calibri"/>
          <w:b/>
          <w:i/>
          <w:sz w:val="22"/>
          <w:szCs w:val="22"/>
          <w:u w:val="single"/>
        </w:rPr>
        <w:t>eFt</w:t>
      </w:r>
    </w:p>
    <w:p w14:paraId="7ACE6A0B" w14:textId="77777777" w:rsidR="005E2762" w:rsidRDefault="005E2762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55EB1EE2" w14:textId="77777777" w:rsidR="00354644" w:rsidRDefault="00354644" w:rsidP="00947D5F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43EDE9A8" w14:textId="55DE90FA" w:rsidR="00500B0C" w:rsidRDefault="00500B0C" w:rsidP="00AE7DB8">
      <w:pPr>
        <w:keepNext/>
        <w:numPr>
          <w:ilvl w:val="0"/>
          <w:numId w:val="7"/>
        </w:numPr>
        <w:ind w:left="709" w:hanging="349"/>
        <w:jc w:val="both"/>
        <w:outlineLvl w:val="7"/>
        <w:rPr>
          <w:rFonts w:ascii="Calibri" w:hAnsi="Calibri" w:cs="Calibri"/>
          <w:b/>
          <w:sz w:val="22"/>
          <w:szCs w:val="22"/>
        </w:rPr>
      </w:pPr>
      <w:r w:rsidRPr="00F14DC1">
        <w:rPr>
          <w:rFonts w:ascii="Calibri" w:hAnsi="Calibri" w:cs="Calibri"/>
          <w:b/>
          <w:sz w:val="22"/>
          <w:szCs w:val="22"/>
        </w:rPr>
        <w:t xml:space="preserve"> </w:t>
      </w:r>
      <w:r w:rsidR="000F512B" w:rsidRPr="00F14DC1">
        <w:rPr>
          <w:rFonts w:ascii="Calibri" w:hAnsi="Calibri" w:cs="Calibri"/>
          <w:b/>
          <w:sz w:val="22"/>
          <w:szCs w:val="22"/>
        </w:rPr>
        <w:t>Pénzügyi egyensúly</w:t>
      </w:r>
    </w:p>
    <w:p w14:paraId="5702B8FF" w14:textId="77777777" w:rsidR="00354644" w:rsidRPr="00F14DC1" w:rsidRDefault="00354644" w:rsidP="00354644">
      <w:pPr>
        <w:keepNext/>
        <w:ind w:left="709"/>
        <w:jc w:val="both"/>
        <w:outlineLvl w:val="7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516"/>
      </w:tblGrid>
      <w:tr w:rsidR="002D6642" w:rsidRPr="00F14DC1" w14:paraId="6B42E4EC" w14:textId="77777777" w:rsidTr="00FA7156">
        <w:tc>
          <w:tcPr>
            <w:tcW w:w="4546" w:type="dxa"/>
            <w:shd w:val="clear" w:color="auto" w:fill="auto"/>
          </w:tcPr>
          <w:p w14:paraId="54D01978" w14:textId="77777777" w:rsidR="002D6642" w:rsidRPr="00F14DC1" w:rsidRDefault="002D6642" w:rsidP="001A199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Megnevezés</w:t>
            </w:r>
          </w:p>
        </w:tc>
        <w:tc>
          <w:tcPr>
            <w:tcW w:w="4516" w:type="dxa"/>
            <w:shd w:val="clear" w:color="auto" w:fill="auto"/>
          </w:tcPr>
          <w:p w14:paraId="4E6DF453" w14:textId="77777777" w:rsidR="002D6642" w:rsidRPr="00F14DC1" w:rsidRDefault="002D6642" w:rsidP="00B23F3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Összeg (ezer forintban)</w:t>
            </w:r>
            <w:r w:rsidR="00747F5D" w:rsidRPr="00F14DC1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0F512B" w:rsidRPr="00065EEC" w14:paraId="39B548E6" w14:textId="77777777" w:rsidTr="00FA7156">
        <w:tc>
          <w:tcPr>
            <w:tcW w:w="4546" w:type="dxa"/>
            <w:shd w:val="clear" w:color="auto" w:fill="auto"/>
          </w:tcPr>
          <w:p w14:paraId="00552A99" w14:textId="7530FFDD" w:rsidR="002E798C" w:rsidRPr="00242F39" w:rsidRDefault="000F512B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202</w:t>
            </w:r>
            <w:r w:rsidR="00FC4CAB" w:rsidRPr="00242F39">
              <w:rPr>
                <w:rFonts w:ascii="Calibri" w:hAnsi="Calibri" w:cs="Calibri"/>
                <w:sz w:val="22"/>
                <w:szCs w:val="22"/>
              </w:rPr>
              <w:t>3</w:t>
            </w:r>
            <w:r w:rsidRPr="00242F39">
              <w:rPr>
                <w:rFonts w:ascii="Calibri" w:hAnsi="Calibri" w:cs="Calibri"/>
                <w:sz w:val="22"/>
                <w:szCs w:val="22"/>
              </w:rPr>
              <w:t>. évi szabad maradvány</w:t>
            </w:r>
          </w:p>
        </w:tc>
        <w:tc>
          <w:tcPr>
            <w:tcW w:w="4516" w:type="dxa"/>
            <w:shd w:val="clear" w:color="auto" w:fill="auto"/>
          </w:tcPr>
          <w:p w14:paraId="5E4FE29B" w14:textId="22893475" w:rsidR="00065EEC" w:rsidRPr="00F14DC1" w:rsidRDefault="0014414A" w:rsidP="002E798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+713.609</w:t>
            </w:r>
          </w:p>
        </w:tc>
      </w:tr>
      <w:tr w:rsidR="0072162D" w:rsidRPr="00F14DC1" w14:paraId="421E8320" w14:textId="77777777" w:rsidTr="00FA7156">
        <w:tc>
          <w:tcPr>
            <w:tcW w:w="4546" w:type="dxa"/>
            <w:shd w:val="clear" w:color="auto" w:fill="auto"/>
          </w:tcPr>
          <w:p w14:paraId="7ABA79B1" w14:textId="284A4E10" w:rsidR="0072162D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Az utólagos tudomásul vételt jelentő tételek</w:t>
            </w:r>
          </w:p>
        </w:tc>
        <w:tc>
          <w:tcPr>
            <w:tcW w:w="4516" w:type="dxa"/>
            <w:shd w:val="clear" w:color="auto" w:fill="auto"/>
          </w:tcPr>
          <w:p w14:paraId="2B354202" w14:textId="77777777" w:rsidR="0072162D" w:rsidRDefault="0072162D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5215E4" w14:textId="040FCA7B" w:rsidR="0014414A" w:rsidRPr="00F14DC1" w:rsidRDefault="0014414A" w:rsidP="000F512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+22.429</w:t>
            </w:r>
          </w:p>
        </w:tc>
      </w:tr>
      <w:tr w:rsidR="002D6642" w:rsidRPr="00F14DC1" w14:paraId="133D8733" w14:textId="77777777" w:rsidTr="00FA7156">
        <w:tc>
          <w:tcPr>
            <w:tcW w:w="4546" w:type="dxa"/>
            <w:shd w:val="clear" w:color="auto" w:fill="auto"/>
          </w:tcPr>
          <w:p w14:paraId="27993E6A" w14:textId="273F4DD6" w:rsidR="002D6642" w:rsidRPr="00242F39" w:rsidRDefault="0072162D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 xml:space="preserve">A közgyűlési határozatok </w:t>
            </w:r>
            <w:r w:rsidR="00513B5E" w:rsidRPr="00242F39">
              <w:rPr>
                <w:rFonts w:ascii="Calibri" w:hAnsi="Calibri" w:cs="Calibri"/>
                <w:sz w:val="22"/>
                <w:szCs w:val="22"/>
              </w:rPr>
              <w:t xml:space="preserve">és önkormányzati rendelet 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alapján biztosított tételek </w:t>
            </w:r>
          </w:p>
        </w:tc>
        <w:tc>
          <w:tcPr>
            <w:tcW w:w="4516" w:type="dxa"/>
            <w:shd w:val="clear" w:color="auto" w:fill="auto"/>
          </w:tcPr>
          <w:p w14:paraId="1EB7C062" w14:textId="77777777" w:rsidR="000D746A" w:rsidRDefault="000D746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31B8A277" w14:textId="09D72AE0" w:rsidR="00FA75DA" w:rsidRPr="00F14DC1" w:rsidRDefault="00FA75DA" w:rsidP="0054687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-42.600</w:t>
            </w:r>
          </w:p>
        </w:tc>
      </w:tr>
      <w:tr w:rsidR="004961A7" w:rsidRPr="00F14DC1" w14:paraId="4D426C2B" w14:textId="77777777" w:rsidTr="00FA7156">
        <w:tc>
          <w:tcPr>
            <w:tcW w:w="4546" w:type="dxa"/>
            <w:shd w:val="clear" w:color="auto" w:fill="auto"/>
          </w:tcPr>
          <w:p w14:paraId="3A786C72" w14:textId="7582566A" w:rsidR="004961A7" w:rsidRPr="00242F39" w:rsidRDefault="004961A7" w:rsidP="00242F39">
            <w:pPr>
              <w:pStyle w:val="Listaszerbekezds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2F39">
              <w:rPr>
                <w:rFonts w:ascii="Calibri" w:hAnsi="Calibri" w:cs="Calibri"/>
                <w:sz w:val="22"/>
                <w:szCs w:val="22"/>
              </w:rPr>
              <w:t>Közgyűlési döntés</w:t>
            </w:r>
            <w:r w:rsidR="00B24B6C" w:rsidRPr="00242F39">
              <w:rPr>
                <w:rFonts w:ascii="Calibri" w:hAnsi="Calibri" w:cs="Calibri"/>
                <w:sz w:val="22"/>
                <w:szCs w:val="22"/>
              </w:rPr>
              <w:t>t igénylő</w:t>
            </w:r>
            <w:r w:rsidRPr="00242F39">
              <w:rPr>
                <w:rFonts w:ascii="Calibri" w:hAnsi="Calibri" w:cs="Calibri"/>
                <w:sz w:val="22"/>
                <w:szCs w:val="22"/>
              </w:rPr>
              <w:t xml:space="preserve"> tételek</w:t>
            </w:r>
          </w:p>
        </w:tc>
        <w:tc>
          <w:tcPr>
            <w:tcW w:w="4516" w:type="dxa"/>
            <w:shd w:val="clear" w:color="auto" w:fill="auto"/>
          </w:tcPr>
          <w:p w14:paraId="48D923E2" w14:textId="50B1D522" w:rsidR="000D746A" w:rsidRPr="00F14DC1" w:rsidRDefault="00FA75DA" w:rsidP="00A45DAB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-693.438</w:t>
            </w:r>
          </w:p>
        </w:tc>
      </w:tr>
      <w:tr w:rsidR="002D6642" w:rsidRPr="00F14DC1" w14:paraId="01C116CF" w14:textId="77777777" w:rsidTr="00FA7156">
        <w:tc>
          <w:tcPr>
            <w:tcW w:w="4546" w:type="dxa"/>
            <w:shd w:val="clear" w:color="auto" w:fill="auto"/>
          </w:tcPr>
          <w:p w14:paraId="083C8A03" w14:textId="77777777" w:rsidR="002D6642" w:rsidRPr="00F14DC1" w:rsidRDefault="002D6642" w:rsidP="001A199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14DC1">
              <w:rPr>
                <w:rFonts w:ascii="Calibri" w:hAnsi="Calibri" w:cs="Calibri"/>
                <w:b/>
                <w:sz w:val="22"/>
                <w:szCs w:val="22"/>
              </w:rPr>
              <w:t>Összesen</w:t>
            </w:r>
          </w:p>
        </w:tc>
        <w:tc>
          <w:tcPr>
            <w:tcW w:w="4516" w:type="dxa"/>
            <w:shd w:val="clear" w:color="auto" w:fill="auto"/>
          </w:tcPr>
          <w:p w14:paraId="15874725" w14:textId="77777777" w:rsidR="002D6642" w:rsidRPr="00F14DC1" w:rsidRDefault="00947D5F" w:rsidP="00A45DAB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</w:t>
            </w:r>
          </w:p>
        </w:tc>
      </w:tr>
    </w:tbl>
    <w:p w14:paraId="4F5BFA95" w14:textId="77777777" w:rsidR="00B73E5E" w:rsidRDefault="00B73E5E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7AE96373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1BB91637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3353479" w14:textId="77777777" w:rsidR="00354644" w:rsidRDefault="00354644" w:rsidP="00B73E5E">
      <w:pPr>
        <w:rPr>
          <w:rFonts w:ascii="Calibri" w:hAnsi="Calibri" w:cs="Calibri"/>
          <w:b/>
          <w:color w:val="FF0000"/>
          <w:sz w:val="22"/>
          <w:szCs w:val="22"/>
          <w:highlight w:val="yellow"/>
        </w:rPr>
      </w:pPr>
    </w:p>
    <w:p w14:paraId="6C4E2051" w14:textId="77777777" w:rsidR="00500B0C" w:rsidRDefault="00500B0C" w:rsidP="00AE7DB8">
      <w:pPr>
        <w:numPr>
          <w:ilvl w:val="0"/>
          <w:numId w:val="7"/>
        </w:numPr>
        <w:rPr>
          <w:rFonts w:ascii="Calibri" w:hAnsi="Calibri" w:cs="Calibri"/>
          <w:b/>
          <w:sz w:val="22"/>
          <w:szCs w:val="22"/>
        </w:rPr>
      </w:pPr>
      <w:r w:rsidRPr="00A9408A">
        <w:rPr>
          <w:rFonts w:ascii="Calibri" w:hAnsi="Calibri" w:cs="Calibri"/>
          <w:b/>
          <w:sz w:val="22"/>
          <w:szCs w:val="22"/>
        </w:rPr>
        <w:t>Létszám előirányzat</w:t>
      </w:r>
    </w:p>
    <w:p w14:paraId="098D279E" w14:textId="77777777" w:rsidR="00354644" w:rsidRPr="00A9408A" w:rsidRDefault="00354644" w:rsidP="00354644">
      <w:pPr>
        <w:ind w:left="1080"/>
        <w:rPr>
          <w:rFonts w:ascii="Calibri" w:hAnsi="Calibri" w:cs="Calibri"/>
          <w:b/>
          <w:sz w:val="22"/>
          <w:szCs w:val="22"/>
        </w:rPr>
      </w:pPr>
    </w:p>
    <w:p w14:paraId="41483916" w14:textId="2089775A" w:rsidR="00500B0C" w:rsidRPr="00162658" w:rsidRDefault="00CA378C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2658">
        <w:rPr>
          <w:rFonts w:ascii="Calibri" w:hAnsi="Calibri" w:cs="Calibri"/>
          <w:sz w:val="22"/>
          <w:szCs w:val="22"/>
        </w:rPr>
        <w:t>Végrehajtásra került a</w:t>
      </w:r>
      <w:r w:rsidR="00113A39" w:rsidRPr="00162658">
        <w:rPr>
          <w:rFonts w:ascii="Calibri" w:hAnsi="Calibri" w:cs="Calibri"/>
          <w:sz w:val="22"/>
          <w:szCs w:val="22"/>
        </w:rPr>
        <w:t xml:space="preserve">z 52/2024. (III.29.) </w:t>
      </w:r>
      <w:r w:rsidR="005C1FAD" w:rsidRPr="00162658">
        <w:rPr>
          <w:rFonts w:ascii="Calibri" w:hAnsi="Calibri" w:cs="Calibri"/>
          <w:sz w:val="22"/>
          <w:szCs w:val="22"/>
        </w:rPr>
        <w:t>Kgy. sz. határozat, mely</w:t>
      </w:r>
      <w:r w:rsidR="00A9408A" w:rsidRPr="00162658">
        <w:rPr>
          <w:rFonts w:ascii="Calibri" w:hAnsi="Calibri" w:cs="Calibri"/>
          <w:sz w:val="22"/>
          <w:szCs w:val="22"/>
        </w:rPr>
        <w:t xml:space="preserve"> döntött</w:t>
      </w:r>
      <w:r w:rsidR="005C1FAD" w:rsidRPr="00162658">
        <w:rPr>
          <w:rFonts w:ascii="Calibri" w:hAnsi="Calibri" w:cs="Calibri"/>
          <w:sz w:val="22"/>
          <w:szCs w:val="22"/>
        </w:rPr>
        <w:t xml:space="preserve"> a</w:t>
      </w:r>
      <w:r w:rsidR="00113A39" w:rsidRPr="00162658">
        <w:rPr>
          <w:rFonts w:ascii="Calibri" w:hAnsi="Calibri" w:cs="Calibri"/>
          <w:sz w:val="22"/>
          <w:szCs w:val="22"/>
        </w:rPr>
        <w:t xml:space="preserve"> Polgármesteri Hivatal létszám előirányzatának 1 fővel történő módosításáról.</w:t>
      </w:r>
      <w:r w:rsidR="005C1FAD" w:rsidRPr="00162658">
        <w:rPr>
          <w:rFonts w:ascii="Calibri" w:hAnsi="Calibri" w:cs="Calibri"/>
          <w:sz w:val="22"/>
          <w:szCs w:val="22"/>
        </w:rPr>
        <w:t xml:space="preserve"> </w:t>
      </w:r>
    </w:p>
    <w:p w14:paraId="2B3560D3" w14:textId="1C3EFA63" w:rsidR="006F6562" w:rsidRPr="00162658" w:rsidRDefault="006F6562" w:rsidP="00162658">
      <w:pPr>
        <w:pStyle w:val="Listaszerbekezds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162658">
        <w:rPr>
          <w:rFonts w:ascii="Calibri" w:hAnsi="Calibri" w:cs="Calibri"/>
          <w:sz w:val="22"/>
          <w:szCs w:val="22"/>
        </w:rPr>
        <w:t>A 85/2024. (III.28.) Kgy.sz. határozatban foglaltak szerint döntés született arról, hogy a Polgármesteri Hivatalban a megváltozott munkaképességűek foglalkoztatása a részmunkaidős munkalehetősége kibővítésre került, napi 4</w:t>
      </w:r>
      <w:r w:rsidR="00FA19EF">
        <w:rPr>
          <w:rFonts w:ascii="Calibri" w:hAnsi="Calibri" w:cs="Calibri"/>
          <w:sz w:val="22"/>
          <w:szCs w:val="22"/>
        </w:rPr>
        <w:t xml:space="preserve"> </w:t>
      </w:r>
      <w:r w:rsidRPr="00162658">
        <w:rPr>
          <w:rFonts w:ascii="Calibri" w:hAnsi="Calibri" w:cs="Calibri"/>
          <w:sz w:val="22"/>
          <w:szCs w:val="22"/>
        </w:rPr>
        <w:t xml:space="preserve">órás munkavégzés napi 6, illetve 8 órára. Mindezek alapján a Polgármesteri Hivatal engedélyezett létszám előirányzata 2024. április 1-től 2 fővel növekedett. </w:t>
      </w:r>
    </w:p>
    <w:sectPr w:rsidR="006F6562" w:rsidRPr="00162658">
      <w:headerReference w:type="even" r:id="rId8"/>
      <w:footerReference w:type="even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CD0E2" w14:textId="77777777" w:rsidR="00DF4027" w:rsidRDefault="00DF4027">
      <w:r>
        <w:separator/>
      </w:r>
    </w:p>
  </w:endnote>
  <w:endnote w:type="continuationSeparator" w:id="0">
    <w:p w14:paraId="61C252A6" w14:textId="77777777" w:rsidR="00DF4027" w:rsidRDefault="00DF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641B3" w14:textId="77777777" w:rsidR="003B6BF4" w:rsidRDefault="003B6B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3932FF2" w14:textId="77777777" w:rsidR="003B6BF4" w:rsidRDefault="003B6B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8D5D1" w14:textId="77777777" w:rsidR="00DF4027" w:rsidRDefault="00DF4027">
      <w:r>
        <w:separator/>
      </w:r>
    </w:p>
  </w:footnote>
  <w:footnote w:type="continuationSeparator" w:id="0">
    <w:p w14:paraId="6F963C77" w14:textId="77777777" w:rsidR="00DF4027" w:rsidRDefault="00DF4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BC95A" w14:textId="77777777" w:rsidR="003B6BF4" w:rsidRDefault="003B6BF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2D87084" w14:textId="77777777" w:rsidR="003B6BF4" w:rsidRDefault="003B6BF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18E6"/>
    <w:multiLevelType w:val="hybridMultilevel"/>
    <w:tmpl w:val="A6B288EC"/>
    <w:styleLink w:val="Importlt2stlus"/>
    <w:lvl w:ilvl="0" w:tplc="6D2801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4A21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A23574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44B65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5489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F6867A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D6F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4C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3E7D2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F80"/>
    <w:multiLevelType w:val="hybridMultilevel"/>
    <w:tmpl w:val="CF441CCA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04401"/>
    <w:multiLevelType w:val="hybridMultilevel"/>
    <w:tmpl w:val="76589D24"/>
    <w:lvl w:ilvl="0" w:tplc="6688CF0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164B"/>
    <w:multiLevelType w:val="hybridMultilevel"/>
    <w:tmpl w:val="DC0E93A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562FAC"/>
    <w:multiLevelType w:val="hybridMultilevel"/>
    <w:tmpl w:val="264A5B56"/>
    <w:lvl w:ilvl="0" w:tplc="8B282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0084E"/>
    <w:multiLevelType w:val="hybridMultilevel"/>
    <w:tmpl w:val="160C4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3799E"/>
    <w:multiLevelType w:val="hybridMultilevel"/>
    <w:tmpl w:val="FDE6053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3114A"/>
    <w:multiLevelType w:val="hybridMultilevel"/>
    <w:tmpl w:val="EF402F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E06A29"/>
    <w:multiLevelType w:val="hybridMultilevel"/>
    <w:tmpl w:val="01BCC8C6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F0C83"/>
    <w:multiLevelType w:val="hybridMultilevel"/>
    <w:tmpl w:val="661CBC6C"/>
    <w:lvl w:ilvl="0" w:tplc="C312FACE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23484F"/>
    <w:multiLevelType w:val="hybridMultilevel"/>
    <w:tmpl w:val="6D585D4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3C7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808C17C">
      <w:start w:val="4"/>
      <w:numFmt w:val="upperRoman"/>
      <w:pStyle w:val="Cmsor2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E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1F80554">
      <w:start w:val="1"/>
      <w:numFmt w:val="lowerLetter"/>
      <w:lvlText w:val="%5.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25324358">
      <w:start w:val="1"/>
      <w:numFmt w:val="decimal"/>
      <w:lvlText w:val="%6.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E221D"/>
    <w:multiLevelType w:val="hybridMultilevel"/>
    <w:tmpl w:val="460A5140"/>
    <w:lvl w:ilvl="0" w:tplc="9BCA3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E637A"/>
    <w:multiLevelType w:val="hybridMultilevel"/>
    <w:tmpl w:val="454E238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5360948">
    <w:abstractNumId w:val="12"/>
  </w:num>
  <w:num w:numId="2" w16cid:durableId="1365596163">
    <w:abstractNumId w:val="14"/>
  </w:num>
  <w:num w:numId="3" w16cid:durableId="925306559">
    <w:abstractNumId w:val="2"/>
  </w:num>
  <w:num w:numId="4" w16cid:durableId="1807090730">
    <w:abstractNumId w:val="9"/>
  </w:num>
  <w:num w:numId="5" w16cid:durableId="1654868971">
    <w:abstractNumId w:val="1"/>
  </w:num>
  <w:num w:numId="6" w16cid:durableId="896817454">
    <w:abstractNumId w:val="7"/>
  </w:num>
  <w:num w:numId="7" w16cid:durableId="203030978">
    <w:abstractNumId w:val="10"/>
  </w:num>
  <w:num w:numId="8" w16cid:durableId="1968313722">
    <w:abstractNumId w:val="5"/>
  </w:num>
  <w:num w:numId="9" w16cid:durableId="181166018">
    <w:abstractNumId w:val="0"/>
  </w:num>
  <w:num w:numId="10" w16cid:durableId="194005554">
    <w:abstractNumId w:val="6"/>
  </w:num>
  <w:num w:numId="11" w16cid:durableId="1319573997">
    <w:abstractNumId w:val="13"/>
  </w:num>
  <w:num w:numId="12" w16cid:durableId="1709640949">
    <w:abstractNumId w:val="8"/>
  </w:num>
  <w:num w:numId="13" w16cid:durableId="1680885688">
    <w:abstractNumId w:val="4"/>
  </w:num>
  <w:num w:numId="14" w16cid:durableId="1087195658">
    <w:abstractNumId w:val="3"/>
  </w:num>
  <w:num w:numId="15" w16cid:durableId="30127479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9D"/>
    <w:rsid w:val="00000B77"/>
    <w:rsid w:val="00000DEF"/>
    <w:rsid w:val="00001804"/>
    <w:rsid w:val="00001831"/>
    <w:rsid w:val="0000296A"/>
    <w:rsid w:val="000042E9"/>
    <w:rsid w:val="00004ACD"/>
    <w:rsid w:val="00005FB8"/>
    <w:rsid w:val="000106AB"/>
    <w:rsid w:val="00012952"/>
    <w:rsid w:val="00012B7D"/>
    <w:rsid w:val="00012C1C"/>
    <w:rsid w:val="00012F6B"/>
    <w:rsid w:val="000136DB"/>
    <w:rsid w:val="00020713"/>
    <w:rsid w:val="000214A5"/>
    <w:rsid w:val="000217AA"/>
    <w:rsid w:val="00021F4A"/>
    <w:rsid w:val="00023130"/>
    <w:rsid w:val="00023BA7"/>
    <w:rsid w:val="000243E3"/>
    <w:rsid w:val="00024A6E"/>
    <w:rsid w:val="00026F2E"/>
    <w:rsid w:val="0003036E"/>
    <w:rsid w:val="00030838"/>
    <w:rsid w:val="00030A2A"/>
    <w:rsid w:val="0003167D"/>
    <w:rsid w:val="000326DE"/>
    <w:rsid w:val="000348E6"/>
    <w:rsid w:val="00034DA9"/>
    <w:rsid w:val="00035278"/>
    <w:rsid w:val="000358D5"/>
    <w:rsid w:val="0003671F"/>
    <w:rsid w:val="000367C6"/>
    <w:rsid w:val="0003725D"/>
    <w:rsid w:val="000418B7"/>
    <w:rsid w:val="000423E2"/>
    <w:rsid w:val="0004270E"/>
    <w:rsid w:val="000437DF"/>
    <w:rsid w:val="00044376"/>
    <w:rsid w:val="00045096"/>
    <w:rsid w:val="00045664"/>
    <w:rsid w:val="000459DF"/>
    <w:rsid w:val="00046628"/>
    <w:rsid w:val="00046AC1"/>
    <w:rsid w:val="000476EC"/>
    <w:rsid w:val="00050944"/>
    <w:rsid w:val="00051199"/>
    <w:rsid w:val="0005220E"/>
    <w:rsid w:val="000534E9"/>
    <w:rsid w:val="000542EF"/>
    <w:rsid w:val="00054694"/>
    <w:rsid w:val="0005645C"/>
    <w:rsid w:val="00056530"/>
    <w:rsid w:val="0005701C"/>
    <w:rsid w:val="00057C30"/>
    <w:rsid w:val="00062904"/>
    <w:rsid w:val="00062B59"/>
    <w:rsid w:val="00063435"/>
    <w:rsid w:val="000638B7"/>
    <w:rsid w:val="00065EEC"/>
    <w:rsid w:val="0006609B"/>
    <w:rsid w:val="00066A34"/>
    <w:rsid w:val="000709BE"/>
    <w:rsid w:val="00074C9C"/>
    <w:rsid w:val="00075584"/>
    <w:rsid w:val="00075FEE"/>
    <w:rsid w:val="000767C3"/>
    <w:rsid w:val="00081466"/>
    <w:rsid w:val="0008273B"/>
    <w:rsid w:val="000836AE"/>
    <w:rsid w:val="00084B07"/>
    <w:rsid w:val="00085F06"/>
    <w:rsid w:val="00086D6E"/>
    <w:rsid w:val="000876B2"/>
    <w:rsid w:val="00090289"/>
    <w:rsid w:val="000907D9"/>
    <w:rsid w:val="00091ABA"/>
    <w:rsid w:val="0009295E"/>
    <w:rsid w:val="000940EA"/>
    <w:rsid w:val="00094C59"/>
    <w:rsid w:val="000951DF"/>
    <w:rsid w:val="00095DB7"/>
    <w:rsid w:val="000962CF"/>
    <w:rsid w:val="00096998"/>
    <w:rsid w:val="00096AC0"/>
    <w:rsid w:val="00096D27"/>
    <w:rsid w:val="00097767"/>
    <w:rsid w:val="00097B84"/>
    <w:rsid w:val="000A290B"/>
    <w:rsid w:val="000A362E"/>
    <w:rsid w:val="000A37BA"/>
    <w:rsid w:val="000A4222"/>
    <w:rsid w:val="000A4E5C"/>
    <w:rsid w:val="000A5D39"/>
    <w:rsid w:val="000A66B9"/>
    <w:rsid w:val="000A7155"/>
    <w:rsid w:val="000A730E"/>
    <w:rsid w:val="000B12E9"/>
    <w:rsid w:val="000B2543"/>
    <w:rsid w:val="000B2DDC"/>
    <w:rsid w:val="000B2E1E"/>
    <w:rsid w:val="000B3479"/>
    <w:rsid w:val="000B3628"/>
    <w:rsid w:val="000B3F45"/>
    <w:rsid w:val="000B5E4C"/>
    <w:rsid w:val="000C0501"/>
    <w:rsid w:val="000C0597"/>
    <w:rsid w:val="000C16F1"/>
    <w:rsid w:val="000C19D4"/>
    <w:rsid w:val="000C294F"/>
    <w:rsid w:val="000C430D"/>
    <w:rsid w:val="000C6E9E"/>
    <w:rsid w:val="000C7E03"/>
    <w:rsid w:val="000D0D42"/>
    <w:rsid w:val="000D178B"/>
    <w:rsid w:val="000D2364"/>
    <w:rsid w:val="000D2585"/>
    <w:rsid w:val="000D3842"/>
    <w:rsid w:val="000D3ACC"/>
    <w:rsid w:val="000D56AB"/>
    <w:rsid w:val="000D5C35"/>
    <w:rsid w:val="000D6908"/>
    <w:rsid w:val="000D6D20"/>
    <w:rsid w:val="000D746A"/>
    <w:rsid w:val="000E19CA"/>
    <w:rsid w:val="000E6478"/>
    <w:rsid w:val="000E6DBC"/>
    <w:rsid w:val="000E6FCC"/>
    <w:rsid w:val="000E73FF"/>
    <w:rsid w:val="000E77D0"/>
    <w:rsid w:val="000F0DDA"/>
    <w:rsid w:val="000F364A"/>
    <w:rsid w:val="000F434F"/>
    <w:rsid w:val="000F512B"/>
    <w:rsid w:val="000F542C"/>
    <w:rsid w:val="000F5C01"/>
    <w:rsid w:val="000F5E21"/>
    <w:rsid w:val="000F623C"/>
    <w:rsid w:val="000F62BE"/>
    <w:rsid w:val="000F7536"/>
    <w:rsid w:val="000F7E3D"/>
    <w:rsid w:val="0010002A"/>
    <w:rsid w:val="001016C9"/>
    <w:rsid w:val="001022BC"/>
    <w:rsid w:val="00102C78"/>
    <w:rsid w:val="00107C5D"/>
    <w:rsid w:val="00110235"/>
    <w:rsid w:val="001124D2"/>
    <w:rsid w:val="00112A39"/>
    <w:rsid w:val="00112C87"/>
    <w:rsid w:val="0011398C"/>
    <w:rsid w:val="00113A39"/>
    <w:rsid w:val="0011509E"/>
    <w:rsid w:val="00116226"/>
    <w:rsid w:val="0012062C"/>
    <w:rsid w:val="001208A8"/>
    <w:rsid w:val="001222F2"/>
    <w:rsid w:val="00122914"/>
    <w:rsid w:val="001235EE"/>
    <w:rsid w:val="001236B3"/>
    <w:rsid w:val="001236F9"/>
    <w:rsid w:val="00124B57"/>
    <w:rsid w:val="00124D83"/>
    <w:rsid w:val="001271DC"/>
    <w:rsid w:val="001302D4"/>
    <w:rsid w:val="0013036C"/>
    <w:rsid w:val="00130E11"/>
    <w:rsid w:val="001318A2"/>
    <w:rsid w:val="00133AF9"/>
    <w:rsid w:val="00133F35"/>
    <w:rsid w:val="00134403"/>
    <w:rsid w:val="00135A87"/>
    <w:rsid w:val="00135DD1"/>
    <w:rsid w:val="00136209"/>
    <w:rsid w:val="00140FCA"/>
    <w:rsid w:val="00142378"/>
    <w:rsid w:val="00142CE7"/>
    <w:rsid w:val="001437FF"/>
    <w:rsid w:val="00143E29"/>
    <w:rsid w:val="0014403E"/>
    <w:rsid w:val="0014414A"/>
    <w:rsid w:val="00144257"/>
    <w:rsid w:val="00144FE6"/>
    <w:rsid w:val="001454A6"/>
    <w:rsid w:val="00145C1B"/>
    <w:rsid w:val="0014600C"/>
    <w:rsid w:val="00147089"/>
    <w:rsid w:val="00147AD9"/>
    <w:rsid w:val="00147C70"/>
    <w:rsid w:val="001504C9"/>
    <w:rsid w:val="001509F0"/>
    <w:rsid w:val="0015111E"/>
    <w:rsid w:val="00151E1D"/>
    <w:rsid w:val="001524FA"/>
    <w:rsid w:val="00157EBA"/>
    <w:rsid w:val="001609A0"/>
    <w:rsid w:val="00161EA5"/>
    <w:rsid w:val="00162658"/>
    <w:rsid w:val="0016317E"/>
    <w:rsid w:val="00165439"/>
    <w:rsid w:val="00165AB1"/>
    <w:rsid w:val="00167151"/>
    <w:rsid w:val="00167949"/>
    <w:rsid w:val="001714F6"/>
    <w:rsid w:val="00171A15"/>
    <w:rsid w:val="0017242E"/>
    <w:rsid w:val="0017272E"/>
    <w:rsid w:val="00173F0B"/>
    <w:rsid w:val="00175FE5"/>
    <w:rsid w:val="00176140"/>
    <w:rsid w:val="001811A6"/>
    <w:rsid w:val="001812C9"/>
    <w:rsid w:val="00182138"/>
    <w:rsid w:val="00182240"/>
    <w:rsid w:val="001827B7"/>
    <w:rsid w:val="00182962"/>
    <w:rsid w:val="00183024"/>
    <w:rsid w:val="00183FB1"/>
    <w:rsid w:val="00187ACE"/>
    <w:rsid w:val="00187B80"/>
    <w:rsid w:val="00190C08"/>
    <w:rsid w:val="00190F75"/>
    <w:rsid w:val="001914A0"/>
    <w:rsid w:val="001916FD"/>
    <w:rsid w:val="0019292E"/>
    <w:rsid w:val="001933AF"/>
    <w:rsid w:val="00195982"/>
    <w:rsid w:val="00195E08"/>
    <w:rsid w:val="00195E31"/>
    <w:rsid w:val="00196463"/>
    <w:rsid w:val="0019775C"/>
    <w:rsid w:val="00197E4C"/>
    <w:rsid w:val="001A0D55"/>
    <w:rsid w:val="001A17BD"/>
    <w:rsid w:val="001A1991"/>
    <w:rsid w:val="001A1C8E"/>
    <w:rsid w:val="001A2DFC"/>
    <w:rsid w:val="001A39C9"/>
    <w:rsid w:val="001A474C"/>
    <w:rsid w:val="001A5886"/>
    <w:rsid w:val="001A5A46"/>
    <w:rsid w:val="001A5BE8"/>
    <w:rsid w:val="001A6A7E"/>
    <w:rsid w:val="001A7968"/>
    <w:rsid w:val="001B01B7"/>
    <w:rsid w:val="001B0595"/>
    <w:rsid w:val="001B102F"/>
    <w:rsid w:val="001B11CB"/>
    <w:rsid w:val="001B7598"/>
    <w:rsid w:val="001C0441"/>
    <w:rsid w:val="001C262B"/>
    <w:rsid w:val="001C2A3A"/>
    <w:rsid w:val="001C2C48"/>
    <w:rsid w:val="001C2C97"/>
    <w:rsid w:val="001C4268"/>
    <w:rsid w:val="001C4E1A"/>
    <w:rsid w:val="001C4EF1"/>
    <w:rsid w:val="001C54F2"/>
    <w:rsid w:val="001C5685"/>
    <w:rsid w:val="001C6C28"/>
    <w:rsid w:val="001D082E"/>
    <w:rsid w:val="001D1450"/>
    <w:rsid w:val="001D1E27"/>
    <w:rsid w:val="001D21B8"/>
    <w:rsid w:val="001D4ED2"/>
    <w:rsid w:val="001D620B"/>
    <w:rsid w:val="001D69D9"/>
    <w:rsid w:val="001D6AF1"/>
    <w:rsid w:val="001E1059"/>
    <w:rsid w:val="001E1FEB"/>
    <w:rsid w:val="001E3C4B"/>
    <w:rsid w:val="001E484B"/>
    <w:rsid w:val="001E4D0D"/>
    <w:rsid w:val="001E4FBF"/>
    <w:rsid w:val="001E63DB"/>
    <w:rsid w:val="001E657C"/>
    <w:rsid w:val="001E6858"/>
    <w:rsid w:val="001E7988"/>
    <w:rsid w:val="001F3E40"/>
    <w:rsid w:val="001F4B5E"/>
    <w:rsid w:val="001F5100"/>
    <w:rsid w:val="001F530E"/>
    <w:rsid w:val="001F5B45"/>
    <w:rsid w:val="001F6B3C"/>
    <w:rsid w:val="002005CF"/>
    <w:rsid w:val="00200A19"/>
    <w:rsid w:val="0020287B"/>
    <w:rsid w:val="00202BB6"/>
    <w:rsid w:val="00203695"/>
    <w:rsid w:val="00203ECD"/>
    <w:rsid w:val="00204183"/>
    <w:rsid w:val="00204621"/>
    <w:rsid w:val="002051B6"/>
    <w:rsid w:val="00205FAC"/>
    <w:rsid w:val="00206140"/>
    <w:rsid w:val="002069BD"/>
    <w:rsid w:val="00210408"/>
    <w:rsid w:val="00210658"/>
    <w:rsid w:val="002115E8"/>
    <w:rsid w:val="00214BD2"/>
    <w:rsid w:val="002166BE"/>
    <w:rsid w:val="00217451"/>
    <w:rsid w:val="00217980"/>
    <w:rsid w:val="00217C04"/>
    <w:rsid w:val="00217FF5"/>
    <w:rsid w:val="00220138"/>
    <w:rsid w:val="00220F32"/>
    <w:rsid w:val="00221839"/>
    <w:rsid w:val="00221C9D"/>
    <w:rsid w:val="00222F32"/>
    <w:rsid w:val="002231B3"/>
    <w:rsid w:val="00223885"/>
    <w:rsid w:val="00225AD2"/>
    <w:rsid w:val="00226D34"/>
    <w:rsid w:val="00227FCB"/>
    <w:rsid w:val="00231412"/>
    <w:rsid w:val="002314B9"/>
    <w:rsid w:val="002322D6"/>
    <w:rsid w:val="00232F3E"/>
    <w:rsid w:val="00236B31"/>
    <w:rsid w:val="002376F6"/>
    <w:rsid w:val="00237F02"/>
    <w:rsid w:val="00241880"/>
    <w:rsid w:val="002418ED"/>
    <w:rsid w:val="00242F39"/>
    <w:rsid w:val="00243AC4"/>
    <w:rsid w:val="00243F98"/>
    <w:rsid w:val="002442E2"/>
    <w:rsid w:val="00244F65"/>
    <w:rsid w:val="002478A5"/>
    <w:rsid w:val="00251C51"/>
    <w:rsid w:val="002531E3"/>
    <w:rsid w:val="0025411C"/>
    <w:rsid w:val="00255E85"/>
    <w:rsid w:val="00256144"/>
    <w:rsid w:val="0025679E"/>
    <w:rsid w:val="00257B08"/>
    <w:rsid w:val="00257CCF"/>
    <w:rsid w:val="00261015"/>
    <w:rsid w:val="00261427"/>
    <w:rsid w:val="00262A4A"/>
    <w:rsid w:val="0026339F"/>
    <w:rsid w:val="0026373F"/>
    <w:rsid w:val="00264E6E"/>
    <w:rsid w:val="00265B10"/>
    <w:rsid w:val="0027016C"/>
    <w:rsid w:val="002709F5"/>
    <w:rsid w:val="00272F93"/>
    <w:rsid w:val="00274955"/>
    <w:rsid w:val="00274D7A"/>
    <w:rsid w:val="00277B4D"/>
    <w:rsid w:val="00280131"/>
    <w:rsid w:val="002812BF"/>
    <w:rsid w:val="002814E8"/>
    <w:rsid w:val="00281803"/>
    <w:rsid w:val="00281824"/>
    <w:rsid w:val="00281A66"/>
    <w:rsid w:val="00282CED"/>
    <w:rsid w:val="00284908"/>
    <w:rsid w:val="002849F7"/>
    <w:rsid w:val="00285581"/>
    <w:rsid w:val="00286295"/>
    <w:rsid w:val="00286EF9"/>
    <w:rsid w:val="00286F56"/>
    <w:rsid w:val="0028717B"/>
    <w:rsid w:val="00291418"/>
    <w:rsid w:val="00291D49"/>
    <w:rsid w:val="00291EB9"/>
    <w:rsid w:val="00293327"/>
    <w:rsid w:val="00294E9E"/>
    <w:rsid w:val="00295143"/>
    <w:rsid w:val="00295462"/>
    <w:rsid w:val="00296253"/>
    <w:rsid w:val="0029626F"/>
    <w:rsid w:val="0029723A"/>
    <w:rsid w:val="00297C92"/>
    <w:rsid w:val="00297D4A"/>
    <w:rsid w:val="00297D9B"/>
    <w:rsid w:val="002A28A3"/>
    <w:rsid w:val="002A346F"/>
    <w:rsid w:val="002A3CA7"/>
    <w:rsid w:val="002A5146"/>
    <w:rsid w:val="002A54FC"/>
    <w:rsid w:val="002A5A4A"/>
    <w:rsid w:val="002A6887"/>
    <w:rsid w:val="002A6CB0"/>
    <w:rsid w:val="002A70C7"/>
    <w:rsid w:val="002A750D"/>
    <w:rsid w:val="002B34D5"/>
    <w:rsid w:val="002B3768"/>
    <w:rsid w:val="002B4977"/>
    <w:rsid w:val="002B6B83"/>
    <w:rsid w:val="002B753A"/>
    <w:rsid w:val="002B7D3C"/>
    <w:rsid w:val="002C07AB"/>
    <w:rsid w:val="002C46B8"/>
    <w:rsid w:val="002C4A69"/>
    <w:rsid w:val="002C594F"/>
    <w:rsid w:val="002C6532"/>
    <w:rsid w:val="002C6C9E"/>
    <w:rsid w:val="002C70E3"/>
    <w:rsid w:val="002C7B78"/>
    <w:rsid w:val="002D44FF"/>
    <w:rsid w:val="002D627A"/>
    <w:rsid w:val="002D6642"/>
    <w:rsid w:val="002D67E2"/>
    <w:rsid w:val="002D758A"/>
    <w:rsid w:val="002E0A81"/>
    <w:rsid w:val="002E18AA"/>
    <w:rsid w:val="002E1A75"/>
    <w:rsid w:val="002E1C5F"/>
    <w:rsid w:val="002E2459"/>
    <w:rsid w:val="002E2CED"/>
    <w:rsid w:val="002E2FD5"/>
    <w:rsid w:val="002E450E"/>
    <w:rsid w:val="002E5EAB"/>
    <w:rsid w:val="002E662D"/>
    <w:rsid w:val="002E6754"/>
    <w:rsid w:val="002E70DF"/>
    <w:rsid w:val="002E73A3"/>
    <w:rsid w:val="002E798C"/>
    <w:rsid w:val="002F1A43"/>
    <w:rsid w:val="002F2826"/>
    <w:rsid w:val="002F28C1"/>
    <w:rsid w:val="002F334B"/>
    <w:rsid w:val="002F3BBF"/>
    <w:rsid w:val="002F400F"/>
    <w:rsid w:val="002F6726"/>
    <w:rsid w:val="002F74E8"/>
    <w:rsid w:val="002F7878"/>
    <w:rsid w:val="00300B8B"/>
    <w:rsid w:val="00300E34"/>
    <w:rsid w:val="00301251"/>
    <w:rsid w:val="00302C2E"/>
    <w:rsid w:val="00303A4C"/>
    <w:rsid w:val="003050F3"/>
    <w:rsid w:val="0030534A"/>
    <w:rsid w:val="00306622"/>
    <w:rsid w:val="003108E3"/>
    <w:rsid w:val="00312D47"/>
    <w:rsid w:val="003130A1"/>
    <w:rsid w:val="003146B7"/>
    <w:rsid w:val="0031480F"/>
    <w:rsid w:val="0031590D"/>
    <w:rsid w:val="003200D7"/>
    <w:rsid w:val="00321467"/>
    <w:rsid w:val="00321484"/>
    <w:rsid w:val="00322AD9"/>
    <w:rsid w:val="00323290"/>
    <w:rsid w:val="00323A93"/>
    <w:rsid w:val="00323BB4"/>
    <w:rsid w:val="003245A9"/>
    <w:rsid w:val="00324AEC"/>
    <w:rsid w:val="003259B3"/>
    <w:rsid w:val="00327A0A"/>
    <w:rsid w:val="00331B82"/>
    <w:rsid w:val="00332196"/>
    <w:rsid w:val="0033286E"/>
    <w:rsid w:val="003339CB"/>
    <w:rsid w:val="00333AEC"/>
    <w:rsid w:val="0033412E"/>
    <w:rsid w:val="0033483E"/>
    <w:rsid w:val="003353EF"/>
    <w:rsid w:val="00337277"/>
    <w:rsid w:val="00337A9F"/>
    <w:rsid w:val="003423B1"/>
    <w:rsid w:val="0034273A"/>
    <w:rsid w:val="00342921"/>
    <w:rsid w:val="00342ECC"/>
    <w:rsid w:val="00344BA7"/>
    <w:rsid w:val="00345538"/>
    <w:rsid w:val="0034735C"/>
    <w:rsid w:val="0035040A"/>
    <w:rsid w:val="0035078A"/>
    <w:rsid w:val="00350AD8"/>
    <w:rsid w:val="0035339B"/>
    <w:rsid w:val="00354644"/>
    <w:rsid w:val="00354F8F"/>
    <w:rsid w:val="00355DF9"/>
    <w:rsid w:val="0035613B"/>
    <w:rsid w:val="00356F57"/>
    <w:rsid w:val="003573B2"/>
    <w:rsid w:val="00360AC0"/>
    <w:rsid w:val="00361411"/>
    <w:rsid w:val="003622DB"/>
    <w:rsid w:val="003703CE"/>
    <w:rsid w:val="0037042D"/>
    <w:rsid w:val="00371E79"/>
    <w:rsid w:val="00372CB4"/>
    <w:rsid w:val="00373104"/>
    <w:rsid w:val="00374081"/>
    <w:rsid w:val="0037468A"/>
    <w:rsid w:val="00374E5E"/>
    <w:rsid w:val="003753ED"/>
    <w:rsid w:val="00375BF2"/>
    <w:rsid w:val="00376A58"/>
    <w:rsid w:val="00376D4B"/>
    <w:rsid w:val="003774A1"/>
    <w:rsid w:val="00377C0A"/>
    <w:rsid w:val="00380F01"/>
    <w:rsid w:val="00381252"/>
    <w:rsid w:val="003817BB"/>
    <w:rsid w:val="00384480"/>
    <w:rsid w:val="00385792"/>
    <w:rsid w:val="00386FEB"/>
    <w:rsid w:val="00390097"/>
    <w:rsid w:val="0039110C"/>
    <w:rsid w:val="003928BD"/>
    <w:rsid w:val="003933CB"/>
    <w:rsid w:val="003935C1"/>
    <w:rsid w:val="0039371C"/>
    <w:rsid w:val="00394B88"/>
    <w:rsid w:val="00395F85"/>
    <w:rsid w:val="003967E3"/>
    <w:rsid w:val="00396A19"/>
    <w:rsid w:val="003972EF"/>
    <w:rsid w:val="00397E3D"/>
    <w:rsid w:val="003A08ED"/>
    <w:rsid w:val="003A10E9"/>
    <w:rsid w:val="003A14A2"/>
    <w:rsid w:val="003A44DB"/>
    <w:rsid w:val="003A528A"/>
    <w:rsid w:val="003B0307"/>
    <w:rsid w:val="003B0B97"/>
    <w:rsid w:val="003B17D6"/>
    <w:rsid w:val="003B1A05"/>
    <w:rsid w:val="003B1C46"/>
    <w:rsid w:val="003B225A"/>
    <w:rsid w:val="003B2A1D"/>
    <w:rsid w:val="003B49B5"/>
    <w:rsid w:val="003B527D"/>
    <w:rsid w:val="003B6BF4"/>
    <w:rsid w:val="003C03C4"/>
    <w:rsid w:val="003C4418"/>
    <w:rsid w:val="003C5227"/>
    <w:rsid w:val="003C6195"/>
    <w:rsid w:val="003C6394"/>
    <w:rsid w:val="003C68F8"/>
    <w:rsid w:val="003D07E6"/>
    <w:rsid w:val="003D13AF"/>
    <w:rsid w:val="003D3F2B"/>
    <w:rsid w:val="003D4246"/>
    <w:rsid w:val="003D4CCA"/>
    <w:rsid w:val="003D65CC"/>
    <w:rsid w:val="003D6C53"/>
    <w:rsid w:val="003D7B69"/>
    <w:rsid w:val="003E019D"/>
    <w:rsid w:val="003E0669"/>
    <w:rsid w:val="003E40D3"/>
    <w:rsid w:val="003E47D2"/>
    <w:rsid w:val="003E4A21"/>
    <w:rsid w:val="003E5D91"/>
    <w:rsid w:val="003E67F6"/>
    <w:rsid w:val="003E6AC2"/>
    <w:rsid w:val="003E700B"/>
    <w:rsid w:val="003F04A3"/>
    <w:rsid w:val="003F1167"/>
    <w:rsid w:val="003F25A1"/>
    <w:rsid w:val="003F351B"/>
    <w:rsid w:val="003F382D"/>
    <w:rsid w:val="003F6CA1"/>
    <w:rsid w:val="003F76FA"/>
    <w:rsid w:val="004012BC"/>
    <w:rsid w:val="0040560D"/>
    <w:rsid w:val="00406892"/>
    <w:rsid w:val="004077B9"/>
    <w:rsid w:val="004109C7"/>
    <w:rsid w:val="0041164B"/>
    <w:rsid w:val="004122AE"/>
    <w:rsid w:val="00412748"/>
    <w:rsid w:val="004137CD"/>
    <w:rsid w:val="00414671"/>
    <w:rsid w:val="004151E9"/>
    <w:rsid w:val="00416B9E"/>
    <w:rsid w:val="00417440"/>
    <w:rsid w:val="00417733"/>
    <w:rsid w:val="00417E61"/>
    <w:rsid w:val="00420D18"/>
    <w:rsid w:val="004212C7"/>
    <w:rsid w:val="00421ADC"/>
    <w:rsid w:val="00422F90"/>
    <w:rsid w:val="00423F96"/>
    <w:rsid w:val="004248B8"/>
    <w:rsid w:val="00424983"/>
    <w:rsid w:val="0042592F"/>
    <w:rsid w:val="004267A7"/>
    <w:rsid w:val="00427F60"/>
    <w:rsid w:val="004302A9"/>
    <w:rsid w:val="00432D02"/>
    <w:rsid w:val="004353A2"/>
    <w:rsid w:val="0043778B"/>
    <w:rsid w:val="004379A2"/>
    <w:rsid w:val="00440871"/>
    <w:rsid w:val="00440DDF"/>
    <w:rsid w:val="004422E0"/>
    <w:rsid w:val="00442593"/>
    <w:rsid w:val="004436E7"/>
    <w:rsid w:val="0044444D"/>
    <w:rsid w:val="00444E28"/>
    <w:rsid w:val="00445CED"/>
    <w:rsid w:val="004460E4"/>
    <w:rsid w:val="004465DA"/>
    <w:rsid w:val="0044751D"/>
    <w:rsid w:val="00452205"/>
    <w:rsid w:val="00453452"/>
    <w:rsid w:val="0045452C"/>
    <w:rsid w:val="0045589C"/>
    <w:rsid w:val="00456165"/>
    <w:rsid w:val="00460169"/>
    <w:rsid w:val="00460839"/>
    <w:rsid w:val="004617F0"/>
    <w:rsid w:val="00462A26"/>
    <w:rsid w:val="00462D43"/>
    <w:rsid w:val="00462FF1"/>
    <w:rsid w:val="0046343E"/>
    <w:rsid w:val="004663F4"/>
    <w:rsid w:val="0046660E"/>
    <w:rsid w:val="00467960"/>
    <w:rsid w:val="004709AC"/>
    <w:rsid w:val="00471793"/>
    <w:rsid w:val="004717BD"/>
    <w:rsid w:val="00472DE0"/>
    <w:rsid w:val="00472E66"/>
    <w:rsid w:val="004733F7"/>
    <w:rsid w:val="004736EE"/>
    <w:rsid w:val="00473864"/>
    <w:rsid w:val="00473B0A"/>
    <w:rsid w:val="00474312"/>
    <w:rsid w:val="00474316"/>
    <w:rsid w:val="00475686"/>
    <w:rsid w:val="0047594B"/>
    <w:rsid w:val="00476CBE"/>
    <w:rsid w:val="00477671"/>
    <w:rsid w:val="00477E5A"/>
    <w:rsid w:val="004801A7"/>
    <w:rsid w:val="00480859"/>
    <w:rsid w:val="0048092C"/>
    <w:rsid w:val="00480AB2"/>
    <w:rsid w:val="00480AD0"/>
    <w:rsid w:val="004815F6"/>
    <w:rsid w:val="00481DB5"/>
    <w:rsid w:val="00482F41"/>
    <w:rsid w:val="0048328F"/>
    <w:rsid w:val="00484299"/>
    <w:rsid w:val="004842F0"/>
    <w:rsid w:val="00487DD4"/>
    <w:rsid w:val="004905C7"/>
    <w:rsid w:val="004914E3"/>
    <w:rsid w:val="00491F45"/>
    <w:rsid w:val="00491F66"/>
    <w:rsid w:val="004927D0"/>
    <w:rsid w:val="00492F1A"/>
    <w:rsid w:val="004961A7"/>
    <w:rsid w:val="0049641E"/>
    <w:rsid w:val="004966C0"/>
    <w:rsid w:val="004A0090"/>
    <w:rsid w:val="004A071B"/>
    <w:rsid w:val="004A1D4F"/>
    <w:rsid w:val="004A3A57"/>
    <w:rsid w:val="004A4134"/>
    <w:rsid w:val="004A5353"/>
    <w:rsid w:val="004A5755"/>
    <w:rsid w:val="004A62C5"/>
    <w:rsid w:val="004A760C"/>
    <w:rsid w:val="004A7BD0"/>
    <w:rsid w:val="004B3356"/>
    <w:rsid w:val="004B5A74"/>
    <w:rsid w:val="004B7847"/>
    <w:rsid w:val="004C0F12"/>
    <w:rsid w:val="004C3F25"/>
    <w:rsid w:val="004C4B73"/>
    <w:rsid w:val="004C649A"/>
    <w:rsid w:val="004C7714"/>
    <w:rsid w:val="004C7E8D"/>
    <w:rsid w:val="004D137E"/>
    <w:rsid w:val="004D1BAB"/>
    <w:rsid w:val="004D2289"/>
    <w:rsid w:val="004D2480"/>
    <w:rsid w:val="004D2E0C"/>
    <w:rsid w:val="004D2FB2"/>
    <w:rsid w:val="004D3535"/>
    <w:rsid w:val="004D3ADB"/>
    <w:rsid w:val="004D5931"/>
    <w:rsid w:val="004D729D"/>
    <w:rsid w:val="004D76C4"/>
    <w:rsid w:val="004E140C"/>
    <w:rsid w:val="004E1987"/>
    <w:rsid w:val="004E1D63"/>
    <w:rsid w:val="004E27F0"/>
    <w:rsid w:val="004E2E09"/>
    <w:rsid w:val="004E4C19"/>
    <w:rsid w:val="004E4CDF"/>
    <w:rsid w:val="004E4FAD"/>
    <w:rsid w:val="004E5B4F"/>
    <w:rsid w:val="004E7AA7"/>
    <w:rsid w:val="004F2D65"/>
    <w:rsid w:val="004F505C"/>
    <w:rsid w:val="004F5AC6"/>
    <w:rsid w:val="004F6308"/>
    <w:rsid w:val="004F6A3C"/>
    <w:rsid w:val="00500B0C"/>
    <w:rsid w:val="00501838"/>
    <w:rsid w:val="0050190D"/>
    <w:rsid w:val="005023DA"/>
    <w:rsid w:val="00504746"/>
    <w:rsid w:val="00504F87"/>
    <w:rsid w:val="0050708F"/>
    <w:rsid w:val="00507519"/>
    <w:rsid w:val="005079A1"/>
    <w:rsid w:val="00513007"/>
    <w:rsid w:val="00513B5E"/>
    <w:rsid w:val="00514FA6"/>
    <w:rsid w:val="00516D60"/>
    <w:rsid w:val="00517854"/>
    <w:rsid w:val="005218F0"/>
    <w:rsid w:val="00522E2F"/>
    <w:rsid w:val="00523020"/>
    <w:rsid w:val="00523621"/>
    <w:rsid w:val="00523F91"/>
    <w:rsid w:val="0052439A"/>
    <w:rsid w:val="00526CD3"/>
    <w:rsid w:val="00527545"/>
    <w:rsid w:val="00527DD1"/>
    <w:rsid w:val="00527FF1"/>
    <w:rsid w:val="005313B1"/>
    <w:rsid w:val="00532304"/>
    <w:rsid w:val="00532BFE"/>
    <w:rsid w:val="0053303E"/>
    <w:rsid w:val="0053465B"/>
    <w:rsid w:val="00534F89"/>
    <w:rsid w:val="00537C1C"/>
    <w:rsid w:val="00540E9A"/>
    <w:rsid w:val="0054194D"/>
    <w:rsid w:val="00541C8E"/>
    <w:rsid w:val="00542C9D"/>
    <w:rsid w:val="005446C8"/>
    <w:rsid w:val="00544C83"/>
    <w:rsid w:val="00545696"/>
    <w:rsid w:val="00545823"/>
    <w:rsid w:val="0054601F"/>
    <w:rsid w:val="00546878"/>
    <w:rsid w:val="00552927"/>
    <w:rsid w:val="00553007"/>
    <w:rsid w:val="00553BE5"/>
    <w:rsid w:val="00554D2E"/>
    <w:rsid w:val="0055556F"/>
    <w:rsid w:val="00556062"/>
    <w:rsid w:val="005561FD"/>
    <w:rsid w:val="005576F2"/>
    <w:rsid w:val="005578D5"/>
    <w:rsid w:val="005601AD"/>
    <w:rsid w:val="0056350E"/>
    <w:rsid w:val="005639AE"/>
    <w:rsid w:val="005640D1"/>
    <w:rsid w:val="00564DD7"/>
    <w:rsid w:val="00565A31"/>
    <w:rsid w:val="00565CA4"/>
    <w:rsid w:val="00566331"/>
    <w:rsid w:val="0056667E"/>
    <w:rsid w:val="00566787"/>
    <w:rsid w:val="005713E2"/>
    <w:rsid w:val="00572CE3"/>
    <w:rsid w:val="00572EA6"/>
    <w:rsid w:val="00573313"/>
    <w:rsid w:val="0057342C"/>
    <w:rsid w:val="00573817"/>
    <w:rsid w:val="00574D7A"/>
    <w:rsid w:val="00574FF8"/>
    <w:rsid w:val="005762E3"/>
    <w:rsid w:val="00577FA1"/>
    <w:rsid w:val="00580979"/>
    <w:rsid w:val="00580AED"/>
    <w:rsid w:val="00580E82"/>
    <w:rsid w:val="00581DCC"/>
    <w:rsid w:val="00582E25"/>
    <w:rsid w:val="00583BF6"/>
    <w:rsid w:val="00583E64"/>
    <w:rsid w:val="0058432A"/>
    <w:rsid w:val="00584A4E"/>
    <w:rsid w:val="005851D0"/>
    <w:rsid w:val="00585C49"/>
    <w:rsid w:val="00585FE3"/>
    <w:rsid w:val="00590BA6"/>
    <w:rsid w:val="00590EDE"/>
    <w:rsid w:val="00591C32"/>
    <w:rsid w:val="00592360"/>
    <w:rsid w:val="00592B65"/>
    <w:rsid w:val="00592B6E"/>
    <w:rsid w:val="0059443D"/>
    <w:rsid w:val="0059445F"/>
    <w:rsid w:val="0059638E"/>
    <w:rsid w:val="00596D2B"/>
    <w:rsid w:val="00597A45"/>
    <w:rsid w:val="00597AE1"/>
    <w:rsid w:val="005A0759"/>
    <w:rsid w:val="005A0833"/>
    <w:rsid w:val="005A08AD"/>
    <w:rsid w:val="005A14F3"/>
    <w:rsid w:val="005A38E5"/>
    <w:rsid w:val="005A6922"/>
    <w:rsid w:val="005A6F7F"/>
    <w:rsid w:val="005B153C"/>
    <w:rsid w:val="005B1D28"/>
    <w:rsid w:val="005B32CD"/>
    <w:rsid w:val="005B34F2"/>
    <w:rsid w:val="005B5141"/>
    <w:rsid w:val="005B583E"/>
    <w:rsid w:val="005B64E4"/>
    <w:rsid w:val="005B6839"/>
    <w:rsid w:val="005B6B99"/>
    <w:rsid w:val="005B7F3C"/>
    <w:rsid w:val="005C1BF4"/>
    <w:rsid w:val="005C1FAD"/>
    <w:rsid w:val="005C2C67"/>
    <w:rsid w:val="005C3A2C"/>
    <w:rsid w:val="005C482C"/>
    <w:rsid w:val="005C51AB"/>
    <w:rsid w:val="005C6ACF"/>
    <w:rsid w:val="005C6F94"/>
    <w:rsid w:val="005D0ADD"/>
    <w:rsid w:val="005D15A1"/>
    <w:rsid w:val="005D1D5D"/>
    <w:rsid w:val="005D2668"/>
    <w:rsid w:val="005D2FC0"/>
    <w:rsid w:val="005D3069"/>
    <w:rsid w:val="005D31CC"/>
    <w:rsid w:val="005D37C1"/>
    <w:rsid w:val="005D3B49"/>
    <w:rsid w:val="005D7867"/>
    <w:rsid w:val="005D7A5D"/>
    <w:rsid w:val="005E06D7"/>
    <w:rsid w:val="005E0DCE"/>
    <w:rsid w:val="005E2762"/>
    <w:rsid w:val="005E362C"/>
    <w:rsid w:val="005E49EB"/>
    <w:rsid w:val="005E54B3"/>
    <w:rsid w:val="005E627D"/>
    <w:rsid w:val="005E7AD2"/>
    <w:rsid w:val="005F1073"/>
    <w:rsid w:val="005F11FE"/>
    <w:rsid w:val="005F158B"/>
    <w:rsid w:val="005F1796"/>
    <w:rsid w:val="005F1865"/>
    <w:rsid w:val="005F260E"/>
    <w:rsid w:val="005F2CEB"/>
    <w:rsid w:val="005F3F75"/>
    <w:rsid w:val="005F4118"/>
    <w:rsid w:val="005F445C"/>
    <w:rsid w:val="005F5072"/>
    <w:rsid w:val="005F54EB"/>
    <w:rsid w:val="005F6FA0"/>
    <w:rsid w:val="006006F0"/>
    <w:rsid w:val="00603F61"/>
    <w:rsid w:val="00604A11"/>
    <w:rsid w:val="00604E04"/>
    <w:rsid w:val="006055B3"/>
    <w:rsid w:val="0060684C"/>
    <w:rsid w:val="006068AE"/>
    <w:rsid w:val="0060690C"/>
    <w:rsid w:val="00606A5D"/>
    <w:rsid w:val="00607A73"/>
    <w:rsid w:val="00610BAE"/>
    <w:rsid w:val="00611960"/>
    <w:rsid w:val="00611CC5"/>
    <w:rsid w:val="00612F45"/>
    <w:rsid w:val="0061389A"/>
    <w:rsid w:val="0061525F"/>
    <w:rsid w:val="006153C6"/>
    <w:rsid w:val="00616E5B"/>
    <w:rsid w:val="006176FB"/>
    <w:rsid w:val="006206EF"/>
    <w:rsid w:val="00620720"/>
    <w:rsid w:val="0062097C"/>
    <w:rsid w:val="00620DCA"/>
    <w:rsid w:val="00621451"/>
    <w:rsid w:val="00625E51"/>
    <w:rsid w:val="00626222"/>
    <w:rsid w:val="00626B25"/>
    <w:rsid w:val="00626CF9"/>
    <w:rsid w:val="00627495"/>
    <w:rsid w:val="00627F19"/>
    <w:rsid w:val="006303C5"/>
    <w:rsid w:val="00630A07"/>
    <w:rsid w:val="0063185D"/>
    <w:rsid w:val="00631C27"/>
    <w:rsid w:val="006359A9"/>
    <w:rsid w:val="00636A23"/>
    <w:rsid w:val="00636E48"/>
    <w:rsid w:val="006375DD"/>
    <w:rsid w:val="006377BA"/>
    <w:rsid w:val="00637B8A"/>
    <w:rsid w:val="006412E7"/>
    <w:rsid w:val="00641CAE"/>
    <w:rsid w:val="00641FCE"/>
    <w:rsid w:val="00643124"/>
    <w:rsid w:val="00644159"/>
    <w:rsid w:val="0064794E"/>
    <w:rsid w:val="00647EB1"/>
    <w:rsid w:val="00651280"/>
    <w:rsid w:val="00652DCD"/>
    <w:rsid w:val="00652E47"/>
    <w:rsid w:val="006536F0"/>
    <w:rsid w:val="00653C22"/>
    <w:rsid w:val="00654197"/>
    <w:rsid w:val="00654A64"/>
    <w:rsid w:val="00655C45"/>
    <w:rsid w:val="0065681E"/>
    <w:rsid w:val="00661127"/>
    <w:rsid w:val="00661FBE"/>
    <w:rsid w:val="00666AA4"/>
    <w:rsid w:val="00666ADC"/>
    <w:rsid w:val="00666F41"/>
    <w:rsid w:val="006674E2"/>
    <w:rsid w:val="006701F4"/>
    <w:rsid w:val="00670CDB"/>
    <w:rsid w:val="00671212"/>
    <w:rsid w:val="006725CD"/>
    <w:rsid w:val="00672F4F"/>
    <w:rsid w:val="0067491D"/>
    <w:rsid w:val="006772FF"/>
    <w:rsid w:val="006806CB"/>
    <w:rsid w:val="00681853"/>
    <w:rsid w:val="00684F22"/>
    <w:rsid w:val="00685F77"/>
    <w:rsid w:val="00687931"/>
    <w:rsid w:val="00690901"/>
    <w:rsid w:val="00691339"/>
    <w:rsid w:val="006926B6"/>
    <w:rsid w:val="00694B42"/>
    <w:rsid w:val="0069780B"/>
    <w:rsid w:val="006A10EF"/>
    <w:rsid w:val="006A1255"/>
    <w:rsid w:val="006A25E2"/>
    <w:rsid w:val="006A31B0"/>
    <w:rsid w:val="006A3999"/>
    <w:rsid w:val="006A3BE1"/>
    <w:rsid w:val="006A4F3F"/>
    <w:rsid w:val="006A6B11"/>
    <w:rsid w:val="006A6CAB"/>
    <w:rsid w:val="006B05E8"/>
    <w:rsid w:val="006B07DC"/>
    <w:rsid w:val="006B0F42"/>
    <w:rsid w:val="006B0F53"/>
    <w:rsid w:val="006B135C"/>
    <w:rsid w:val="006B1811"/>
    <w:rsid w:val="006B1F45"/>
    <w:rsid w:val="006B1FFD"/>
    <w:rsid w:val="006B38B8"/>
    <w:rsid w:val="006B46B6"/>
    <w:rsid w:val="006B4AA6"/>
    <w:rsid w:val="006B5B61"/>
    <w:rsid w:val="006B5EB6"/>
    <w:rsid w:val="006C0988"/>
    <w:rsid w:val="006C43C0"/>
    <w:rsid w:val="006C4B7E"/>
    <w:rsid w:val="006C6739"/>
    <w:rsid w:val="006C7162"/>
    <w:rsid w:val="006D1B8C"/>
    <w:rsid w:val="006D22AA"/>
    <w:rsid w:val="006D3035"/>
    <w:rsid w:val="006D5F25"/>
    <w:rsid w:val="006D6A57"/>
    <w:rsid w:val="006E1103"/>
    <w:rsid w:val="006E33B1"/>
    <w:rsid w:val="006E43C2"/>
    <w:rsid w:val="006E70EB"/>
    <w:rsid w:val="006E7268"/>
    <w:rsid w:val="006E7C45"/>
    <w:rsid w:val="006F0429"/>
    <w:rsid w:val="006F1930"/>
    <w:rsid w:val="006F2470"/>
    <w:rsid w:val="006F2717"/>
    <w:rsid w:val="006F43A8"/>
    <w:rsid w:val="006F4A89"/>
    <w:rsid w:val="006F4E45"/>
    <w:rsid w:val="006F4E97"/>
    <w:rsid w:val="006F5F25"/>
    <w:rsid w:val="006F6562"/>
    <w:rsid w:val="006F7D9E"/>
    <w:rsid w:val="0070077F"/>
    <w:rsid w:val="0070281E"/>
    <w:rsid w:val="00704236"/>
    <w:rsid w:val="007044F1"/>
    <w:rsid w:val="00704B55"/>
    <w:rsid w:val="00705037"/>
    <w:rsid w:val="0070529F"/>
    <w:rsid w:val="007052D2"/>
    <w:rsid w:val="00710661"/>
    <w:rsid w:val="007131F0"/>
    <w:rsid w:val="0071347A"/>
    <w:rsid w:val="00714394"/>
    <w:rsid w:val="00715008"/>
    <w:rsid w:val="007154D9"/>
    <w:rsid w:val="0071552D"/>
    <w:rsid w:val="0071674C"/>
    <w:rsid w:val="0071677D"/>
    <w:rsid w:val="00717339"/>
    <w:rsid w:val="00717370"/>
    <w:rsid w:val="00720AD8"/>
    <w:rsid w:val="0072162D"/>
    <w:rsid w:val="007239F7"/>
    <w:rsid w:val="00726477"/>
    <w:rsid w:val="00726894"/>
    <w:rsid w:val="0073059C"/>
    <w:rsid w:val="00730DD1"/>
    <w:rsid w:val="0073164B"/>
    <w:rsid w:val="00731810"/>
    <w:rsid w:val="00732FB8"/>
    <w:rsid w:val="00733D64"/>
    <w:rsid w:val="0073404B"/>
    <w:rsid w:val="00734C00"/>
    <w:rsid w:val="00734F25"/>
    <w:rsid w:val="00734FE2"/>
    <w:rsid w:val="00736D9D"/>
    <w:rsid w:val="00737A7D"/>
    <w:rsid w:val="007408C6"/>
    <w:rsid w:val="0074162D"/>
    <w:rsid w:val="00741CF6"/>
    <w:rsid w:val="00741DF0"/>
    <w:rsid w:val="007420FE"/>
    <w:rsid w:val="007422C8"/>
    <w:rsid w:val="00742486"/>
    <w:rsid w:val="007427BE"/>
    <w:rsid w:val="007440C6"/>
    <w:rsid w:val="007442E4"/>
    <w:rsid w:val="00744915"/>
    <w:rsid w:val="007461FC"/>
    <w:rsid w:val="00746A54"/>
    <w:rsid w:val="00746BFE"/>
    <w:rsid w:val="007475D2"/>
    <w:rsid w:val="00747F5D"/>
    <w:rsid w:val="0075039E"/>
    <w:rsid w:val="00750A64"/>
    <w:rsid w:val="00751D58"/>
    <w:rsid w:val="0075308B"/>
    <w:rsid w:val="00753213"/>
    <w:rsid w:val="007532BF"/>
    <w:rsid w:val="00754A7D"/>
    <w:rsid w:val="00754E95"/>
    <w:rsid w:val="007559A4"/>
    <w:rsid w:val="0075759A"/>
    <w:rsid w:val="00757B16"/>
    <w:rsid w:val="00760353"/>
    <w:rsid w:val="0076144B"/>
    <w:rsid w:val="00761E67"/>
    <w:rsid w:val="00763B1C"/>
    <w:rsid w:val="007644DC"/>
    <w:rsid w:val="00764D5C"/>
    <w:rsid w:val="00765AE1"/>
    <w:rsid w:val="00766552"/>
    <w:rsid w:val="00767994"/>
    <w:rsid w:val="0077108B"/>
    <w:rsid w:val="00772B7C"/>
    <w:rsid w:val="00773414"/>
    <w:rsid w:val="007740D9"/>
    <w:rsid w:val="00775530"/>
    <w:rsid w:val="00775C4C"/>
    <w:rsid w:val="00776445"/>
    <w:rsid w:val="00780A57"/>
    <w:rsid w:val="007825BE"/>
    <w:rsid w:val="0078452E"/>
    <w:rsid w:val="00785E0A"/>
    <w:rsid w:val="007874D6"/>
    <w:rsid w:val="00790EED"/>
    <w:rsid w:val="00791DCF"/>
    <w:rsid w:val="007921B5"/>
    <w:rsid w:val="007933CF"/>
    <w:rsid w:val="00794054"/>
    <w:rsid w:val="00794485"/>
    <w:rsid w:val="00795675"/>
    <w:rsid w:val="00795773"/>
    <w:rsid w:val="007A0143"/>
    <w:rsid w:val="007A1262"/>
    <w:rsid w:val="007A1ACA"/>
    <w:rsid w:val="007A26CF"/>
    <w:rsid w:val="007A26E3"/>
    <w:rsid w:val="007A31D9"/>
    <w:rsid w:val="007A40D1"/>
    <w:rsid w:val="007A51FD"/>
    <w:rsid w:val="007A5278"/>
    <w:rsid w:val="007A64BD"/>
    <w:rsid w:val="007B0F04"/>
    <w:rsid w:val="007B1045"/>
    <w:rsid w:val="007B4FFA"/>
    <w:rsid w:val="007B759D"/>
    <w:rsid w:val="007B7B75"/>
    <w:rsid w:val="007C0361"/>
    <w:rsid w:val="007C0C17"/>
    <w:rsid w:val="007C110D"/>
    <w:rsid w:val="007C12B5"/>
    <w:rsid w:val="007C168F"/>
    <w:rsid w:val="007C4AB3"/>
    <w:rsid w:val="007C568F"/>
    <w:rsid w:val="007C56FE"/>
    <w:rsid w:val="007C64CA"/>
    <w:rsid w:val="007C7AF2"/>
    <w:rsid w:val="007D1411"/>
    <w:rsid w:val="007D18AF"/>
    <w:rsid w:val="007D1BE4"/>
    <w:rsid w:val="007D1CEA"/>
    <w:rsid w:val="007D3656"/>
    <w:rsid w:val="007D37CF"/>
    <w:rsid w:val="007D42A6"/>
    <w:rsid w:val="007D50DB"/>
    <w:rsid w:val="007D5EA5"/>
    <w:rsid w:val="007D79C4"/>
    <w:rsid w:val="007D79D9"/>
    <w:rsid w:val="007E08A9"/>
    <w:rsid w:val="007E29C0"/>
    <w:rsid w:val="007E2B67"/>
    <w:rsid w:val="007E4435"/>
    <w:rsid w:val="007E44CF"/>
    <w:rsid w:val="007E4F76"/>
    <w:rsid w:val="007E5110"/>
    <w:rsid w:val="007E71D7"/>
    <w:rsid w:val="007F065B"/>
    <w:rsid w:val="007F07F1"/>
    <w:rsid w:val="007F0EB4"/>
    <w:rsid w:val="007F21B2"/>
    <w:rsid w:val="007F4482"/>
    <w:rsid w:val="007F4EFD"/>
    <w:rsid w:val="007F639D"/>
    <w:rsid w:val="007F7151"/>
    <w:rsid w:val="007F7BF8"/>
    <w:rsid w:val="007F7CF5"/>
    <w:rsid w:val="008018A8"/>
    <w:rsid w:val="00801B1C"/>
    <w:rsid w:val="00801DD2"/>
    <w:rsid w:val="00803187"/>
    <w:rsid w:val="00803330"/>
    <w:rsid w:val="00803B8D"/>
    <w:rsid w:val="00803EFB"/>
    <w:rsid w:val="0080471C"/>
    <w:rsid w:val="008050DA"/>
    <w:rsid w:val="00805831"/>
    <w:rsid w:val="0080607D"/>
    <w:rsid w:val="008064F0"/>
    <w:rsid w:val="008065EC"/>
    <w:rsid w:val="00806712"/>
    <w:rsid w:val="00807ABA"/>
    <w:rsid w:val="008107F5"/>
    <w:rsid w:val="00812EC1"/>
    <w:rsid w:val="00814674"/>
    <w:rsid w:val="00814F02"/>
    <w:rsid w:val="00817FE5"/>
    <w:rsid w:val="008212A0"/>
    <w:rsid w:val="008214FF"/>
    <w:rsid w:val="008227B9"/>
    <w:rsid w:val="00826BB5"/>
    <w:rsid w:val="00826BF8"/>
    <w:rsid w:val="00826CA3"/>
    <w:rsid w:val="00827038"/>
    <w:rsid w:val="0082766C"/>
    <w:rsid w:val="00827C7F"/>
    <w:rsid w:val="008310D5"/>
    <w:rsid w:val="00831CDC"/>
    <w:rsid w:val="008322EA"/>
    <w:rsid w:val="00832335"/>
    <w:rsid w:val="00832B23"/>
    <w:rsid w:val="00832C3F"/>
    <w:rsid w:val="00835BC8"/>
    <w:rsid w:val="00836A60"/>
    <w:rsid w:val="00836DF9"/>
    <w:rsid w:val="00837110"/>
    <w:rsid w:val="00841AB3"/>
    <w:rsid w:val="00843599"/>
    <w:rsid w:val="0084377C"/>
    <w:rsid w:val="00845BA8"/>
    <w:rsid w:val="008506B2"/>
    <w:rsid w:val="0085550F"/>
    <w:rsid w:val="008560BC"/>
    <w:rsid w:val="00856BCC"/>
    <w:rsid w:val="008604B0"/>
    <w:rsid w:val="00860577"/>
    <w:rsid w:val="00860EBA"/>
    <w:rsid w:val="00860F90"/>
    <w:rsid w:val="0086144B"/>
    <w:rsid w:val="00861631"/>
    <w:rsid w:val="008638DB"/>
    <w:rsid w:val="0086472B"/>
    <w:rsid w:val="0087014B"/>
    <w:rsid w:val="008727EA"/>
    <w:rsid w:val="00873C3D"/>
    <w:rsid w:val="008753EC"/>
    <w:rsid w:val="00876F61"/>
    <w:rsid w:val="0088025E"/>
    <w:rsid w:val="00880F44"/>
    <w:rsid w:val="00881AA9"/>
    <w:rsid w:val="008825EE"/>
    <w:rsid w:val="008907F4"/>
    <w:rsid w:val="00890B3F"/>
    <w:rsid w:val="008916C7"/>
    <w:rsid w:val="008919B2"/>
    <w:rsid w:val="00893261"/>
    <w:rsid w:val="00894255"/>
    <w:rsid w:val="008A1972"/>
    <w:rsid w:val="008A1CA0"/>
    <w:rsid w:val="008A2CF8"/>
    <w:rsid w:val="008A2DEB"/>
    <w:rsid w:val="008A2F2E"/>
    <w:rsid w:val="008A40BD"/>
    <w:rsid w:val="008A551F"/>
    <w:rsid w:val="008A6D09"/>
    <w:rsid w:val="008B0F59"/>
    <w:rsid w:val="008B3BB3"/>
    <w:rsid w:val="008B41F0"/>
    <w:rsid w:val="008B5EBE"/>
    <w:rsid w:val="008B6B35"/>
    <w:rsid w:val="008B6D1D"/>
    <w:rsid w:val="008B6F82"/>
    <w:rsid w:val="008C07A6"/>
    <w:rsid w:val="008C18F6"/>
    <w:rsid w:val="008C2544"/>
    <w:rsid w:val="008C2A49"/>
    <w:rsid w:val="008C3805"/>
    <w:rsid w:val="008C737B"/>
    <w:rsid w:val="008D0071"/>
    <w:rsid w:val="008D0484"/>
    <w:rsid w:val="008D2691"/>
    <w:rsid w:val="008D4289"/>
    <w:rsid w:val="008D50C2"/>
    <w:rsid w:val="008D68F4"/>
    <w:rsid w:val="008D71FE"/>
    <w:rsid w:val="008E062C"/>
    <w:rsid w:val="008E0BB1"/>
    <w:rsid w:val="008E1518"/>
    <w:rsid w:val="008E1602"/>
    <w:rsid w:val="008E1D40"/>
    <w:rsid w:val="008E4B2C"/>
    <w:rsid w:val="008E75A5"/>
    <w:rsid w:val="008E7800"/>
    <w:rsid w:val="008E79F0"/>
    <w:rsid w:val="008F06DD"/>
    <w:rsid w:val="008F0C61"/>
    <w:rsid w:val="008F16D3"/>
    <w:rsid w:val="008F1A67"/>
    <w:rsid w:val="008F285C"/>
    <w:rsid w:val="008F2A45"/>
    <w:rsid w:val="008F2F64"/>
    <w:rsid w:val="008F5EBE"/>
    <w:rsid w:val="008F6D91"/>
    <w:rsid w:val="008F6FCD"/>
    <w:rsid w:val="008F7919"/>
    <w:rsid w:val="009003C4"/>
    <w:rsid w:val="0090196C"/>
    <w:rsid w:val="009019EB"/>
    <w:rsid w:val="0090253D"/>
    <w:rsid w:val="00903659"/>
    <w:rsid w:val="00904BF0"/>
    <w:rsid w:val="00906218"/>
    <w:rsid w:val="00906B92"/>
    <w:rsid w:val="00907817"/>
    <w:rsid w:val="00910765"/>
    <w:rsid w:val="00910F73"/>
    <w:rsid w:val="009122CB"/>
    <w:rsid w:val="00914E04"/>
    <w:rsid w:val="00916ADA"/>
    <w:rsid w:val="00916C23"/>
    <w:rsid w:val="00917805"/>
    <w:rsid w:val="00917A21"/>
    <w:rsid w:val="00920392"/>
    <w:rsid w:val="00920C81"/>
    <w:rsid w:val="009225B9"/>
    <w:rsid w:val="009235A7"/>
    <w:rsid w:val="009243A8"/>
    <w:rsid w:val="00925537"/>
    <w:rsid w:val="0092637F"/>
    <w:rsid w:val="00927CE5"/>
    <w:rsid w:val="00930B2E"/>
    <w:rsid w:val="00934419"/>
    <w:rsid w:val="00934DE1"/>
    <w:rsid w:val="00934F0E"/>
    <w:rsid w:val="009355E7"/>
    <w:rsid w:val="00936F31"/>
    <w:rsid w:val="00937241"/>
    <w:rsid w:val="0093747B"/>
    <w:rsid w:val="00937619"/>
    <w:rsid w:val="0094035E"/>
    <w:rsid w:val="009418AC"/>
    <w:rsid w:val="00941F22"/>
    <w:rsid w:val="00942C98"/>
    <w:rsid w:val="00942D82"/>
    <w:rsid w:val="009432B1"/>
    <w:rsid w:val="00944F72"/>
    <w:rsid w:val="00946176"/>
    <w:rsid w:val="0094760D"/>
    <w:rsid w:val="00947D5F"/>
    <w:rsid w:val="009503FF"/>
    <w:rsid w:val="00950464"/>
    <w:rsid w:val="00950D5A"/>
    <w:rsid w:val="00952FFE"/>
    <w:rsid w:val="00953377"/>
    <w:rsid w:val="009534F8"/>
    <w:rsid w:val="009540D0"/>
    <w:rsid w:val="00954E94"/>
    <w:rsid w:val="009550F7"/>
    <w:rsid w:val="00956D78"/>
    <w:rsid w:val="009621B9"/>
    <w:rsid w:val="00964596"/>
    <w:rsid w:val="009658C8"/>
    <w:rsid w:val="009658D9"/>
    <w:rsid w:val="00966FE0"/>
    <w:rsid w:val="00967BBA"/>
    <w:rsid w:val="009704AD"/>
    <w:rsid w:val="00973E57"/>
    <w:rsid w:val="00973E9B"/>
    <w:rsid w:val="00976D78"/>
    <w:rsid w:val="009771B2"/>
    <w:rsid w:val="00977E38"/>
    <w:rsid w:val="00980D52"/>
    <w:rsid w:val="00982ABD"/>
    <w:rsid w:val="00984AF3"/>
    <w:rsid w:val="009852BD"/>
    <w:rsid w:val="00986F2A"/>
    <w:rsid w:val="00990DF9"/>
    <w:rsid w:val="00991494"/>
    <w:rsid w:val="00991516"/>
    <w:rsid w:val="009918FE"/>
    <w:rsid w:val="009919B7"/>
    <w:rsid w:val="00993EC8"/>
    <w:rsid w:val="00994098"/>
    <w:rsid w:val="00996835"/>
    <w:rsid w:val="00997838"/>
    <w:rsid w:val="009A0C6A"/>
    <w:rsid w:val="009A279E"/>
    <w:rsid w:val="009A2BBC"/>
    <w:rsid w:val="009A3FE2"/>
    <w:rsid w:val="009A4447"/>
    <w:rsid w:val="009A4A03"/>
    <w:rsid w:val="009A4E8D"/>
    <w:rsid w:val="009A50FA"/>
    <w:rsid w:val="009B0129"/>
    <w:rsid w:val="009B027D"/>
    <w:rsid w:val="009B0463"/>
    <w:rsid w:val="009B38B2"/>
    <w:rsid w:val="009B4D0A"/>
    <w:rsid w:val="009B6F68"/>
    <w:rsid w:val="009B7115"/>
    <w:rsid w:val="009B7353"/>
    <w:rsid w:val="009C0BC7"/>
    <w:rsid w:val="009C0C2A"/>
    <w:rsid w:val="009C0F55"/>
    <w:rsid w:val="009C14B3"/>
    <w:rsid w:val="009C1B2C"/>
    <w:rsid w:val="009C3D40"/>
    <w:rsid w:val="009C5CAA"/>
    <w:rsid w:val="009C6C8D"/>
    <w:rsid w:val="009D02F1"/>
    <w:rsid w:val="009D2FC6"/>
    <w:rsid w:val="009D450D"/>
    <w:rsid w:val="009D6C22"/>
    <w:rsid w:val="009D76D5"/>
    <w:rsid w:val="009E0709"/>
    <w:rsid w:val="009E0B5C"/>
    <w:rsid w:val="009E1FB9"/>
    <w:rsid w:val="009E21EA"/>
    <w:rsid w:val="009E2387"/>
    <w:rsid w:val="009E3A80"/>
    <w:rsid w:val="009E5A37"/>
    <w:rsid w:val="009E643C"/>
    <w:rsid w:val="009E6697"/>
    <w:rsid w:val="009E7604"/>
    <w:rsid w:val="009E7E35"/>
    <w:rsid w:val="009F0E72"/>
    <w:rsid w:val="009F1F0B"/>
    <w:rsid w:val="009F2C6B"/>
    <w:rsid w:val="009F35FE"/>
    <w:rsid w:val="009F4438"/>
    <w:rsid w:val="009F4AD3"/>
    <w:rsid w:val="009F6495"/>
    <w:rsid w:val="00A033A1"/>
    <w:rsid w:val="00A0632B"/>
    <w:rsid w:val="00A06531"/>
    <w:rsid w:val="00A0740C"/>
    <w:rsid w:val="00A07729"/>
    <w:rsid w:val="00A07AE6"/>
    <w:rsid w:val="00A11197"/>
    <w:rsid w:val="00A11A9E"/>
    <w:rsid w:val="00A12234"/>
    <w:rsid w:val="00A125F0"/>
    <w:rsid w:val="00A12603"/>
    <w:rsid w:val="00A13A29"/>
    <w:rsid w:val="00A1784C"/>
    <w:rsid w:val="00A20C67"/>
    <w:rsid w:val="00A20F2C"/>
    <w:rsid w:val="00A2219F"/>
    <w:rsid w:val="00A22D4F"/>
    <w:rsid w:val="00A232FD"/>
    <w:rsid w:val="00A237F6"/>
    <w:rsid w:val="00A23C27"/>
    <w:rsid w:val="00A26220"/>
    <w:rsid w:val="00A26558"/>
    <w:rsid w:val="00A2750C"/>
    <w:rsid w:val="00A27A75"/>
    <w:rsid w:val="00A302C6"/>
    <w:rsid w:val="00A308F6"/>
    <w:rsid w:val="00A30D7A"/>
    <w:rsid w:val="00A31337"/>
    <w:rsid w:val="00A328A6"/>
    <w:rsid w:val="00A33AC4"/>
    <w:rsid w:val="00A33C18"/>
    <w:rsid w:val="00A3481E"/>
    <w:rsid w:val="00A355EB"/>
    <w:rsid w:val="00A42B81"/>
    <w:rsid w:val="00A43446"/>
    <w:rsid w:val="00A43DDC"/>
    <w:rsid w:val="00A44885"/>
    <w:rsid w:val="00A45145"/>
    <w:rsid w:val="00A45DAB"/>
    <w:rsid w:val="00A46E88"/>
    <w:rsid w:val="00A477A7"/>
    <w:rsid w:val="00A47AC2"/>
    <w:rsid w:val="00A50531"/>
    <w:rsid w:val="00A51A6C"/>
    <w:rsid w:val="00A534DF"/>
    <w:rsid w:val="00A5369E"/>
    <w:rsid w:val="00A559D4"/>
    <w:rsid w:val="00A55EAC"/>
    <w:rsid w:val="00A574E9"/>
    <w:rsid w:val="00A60997"/>
    <w:rsid w:val="00A61094"/>
    <w:rsid w:val="00A6116B"/>
    <w:rsid w:val="00A6365A"/>
    <w:rsid w:val="00A64766"/>
    <w:rsid w:val="00A65BAD"/>
    <w:rsid w:val="00A65F23"/>
    <w:rsid w:val="00A66717"/>
    <w:rsid w:val="00A668BC"/>
    <w:rsid w:val="00A67D7A"/>
    <w:rsid w:val="00A70B88"/>
    <w:rsid w:val="00A70EED"/>
    <w:rsid w:val="00A711A1"/>
    <w:rsid w:val="00A71FC4"/>
    <w:rsid w:val="00A727D3"/>
    <w:rsid w:val="00A72CC2"/>
    <w:rsid w:val="00A76E5D"/>
    <w:rsid w:val="00A826DF"/>
    <w:rsid w:val="00A835DE"/>
    <w:rsid w:val="00A83609"/>
    <w:rsid w:val="00A83BA8"/>
    <w:rsid w:val="00A84038"/>
    <w:rsid w:val="00A84B03"/>
    <w:rsid w:val="00A8592E"/>
    <w:rsid w:val="00A85CAE"/>
    <w:rsid w:val="00A860A3"/>
    <w:rsid w:val="00A86AFD"/>
    <w:rsid w:val="00A91045"/>
    <w:rsid w:val="00A92D71"/>
    <w:rsid w:val="00A92FFA"/>
    <w:rsid w:val="00A932D5"/>
    <w:rsid w:val="00A9408A"/>
    <w:rsid w:val="00A94D57"/>
    <w:rsid w:val="00A95F76"/>
    <w:rsid w:val="00AA1084"/>
    <w:rsid w:val="00AA2A54"/>
    <w:rsid w:val="00AA39FE"/>
    <w:rsid w:val="00AA483E"/>
    <w:rsid w:val="00AA484B"/>
    <w:rsid w:val="00AA4A63"/>
    <w:rsid w:val="00AA4D12"/>
    <w:rsid w:val="00AA5C79"/>
    <w:rsid w:val="00AA5F89"/>
    <w:rsid w:val="00AA62D2"/>
    <w:rsid w:val="00AA6D4B"/>
    <w:rsid w:val="00AA7268"/>
    <w:rsid w:val="00AA7956"/>
    <w:rsid w:val="00AA799C"/>
    <w:rsid w:val="00AB05D8"/>
    <w:rsid w:val="00AB219B"/>
    <w:rsid w:val="00AB336C"/>
    <w:rsid w:val="00AB409A"/>
    <w:rsid w:val="00AB4607"/>
    <w:rsid w:val="00AB4A9E"/>
    <w:rsid w:val="00AB5071"/>
    <w:rsid w:val="00AB6A4A"/>
    <w:rsid w:val="00AB74CB"/>
    <w:rsid w:val="00AC02A6"/>
    <w:rsid w:val="00AC03D3"/>
    <w:rsid w:val="00AC0571"/>
    <w:rsid w:val="00AC12EE"/>
    <w:rsid w:val="00AC14B2"/>
    <w:rsid w:val="00AC2CA9"/>
    <w:rsid w:val="00AC331A"/>
    <w:rsid w:val="00AC3E91"/>
    <w:rsid w:val="00AC4EA7"/>
    <w:rsid w:val="00AC6901"/>
    <w:rsid w:val="00AD1932"/>
    <w:rsid w:val="00AD2472"/>
    <w:rsid w:val="00AD396D"/>
    <w:rsid w:val="00AD3E2E"/>
    <w:rsid w:val="00AD49BA"/>
    <w:rsid w:val="00AD4DFE"/>
    <w:rsid w:val="00AD5D58"/>
    <w:rsid w:val="00AD6E8D"/>
    <w:rsid w:val="00AD7BAA"/>
    <w:rsid w:val="00AD7C55"/>
    <w:rsid w:val="00AE1154"/>
    <w:rsid w:val="00AE1F17"/>
    <w:rsid w:val="00AE69D9"/>
    <w:rsid w:val="00AE7DB8"/>
    <w:rsid w:val="00AF29C8"/>
    <w:rsid w:val="00AF2E49"/>
    <w:rsid w:val="00AF2EEF"/>
    <w:rsid w:val="00AF3BE1"/>
    <w:rsid w:val="00AF3CE8"/>
    <w:rsid w:val="00AF53F9"/>
    <w:rsid w:val="00AF5DA4"/>
    <w:rsid w:val="00AF5F07"/>
    <w:rsid w:val="00AF6E31"/>
    <w:rsid w:val="00AF7102"/>
    <w:rsid w:val="00B0051B"/>
    <w:rsid w:val="00B008CA"/>
    <w:rsid w:val="00B00D9A"/>
    <w:rsid w:val="00B02AB3"/>
    <w:rsid w:val="00B02C48"/>
    <w:rsid w:val="00B05A70"/>
    <w:rsid w:val="00B069B4"/>
    <w:rsid w:val="00B06CD5"/>
    <w:rsid w:val="00B10A8A"/>
    <w:rsid w:val="00B12DA5"/>
    <w:rsid w:val="00B13601"/>
    <w:rsid w:val="00B13DFC"/>
    <w:rsid w:val="00B14520"/>
    <w:rsid w:val="00B14767"/>
    <w:rsid w:val="00B150DC"/>
    <w:rsid w:val="00B158BD"/>
    <w:rsid w:val="00B167AB"/>
    <w:rsid w:val="00B16E2E"/>
    <w:rsid w:val="00B20D1D"/>
    <w:rsid w:val="00B20F2B"/>
    <w:rsid w:val="00B218E0"/>
    <w:rsid w:val="00B2345F"/>
    <w:rsid w:val="00B23509"/>
    <w:rsid w:val="00B23F31"/>
    <w:rsid w:val="00B24B6C"/>
    <w:rsid w:val="00B25CCB"/>
    <w:rsid w:val="00B2701C"/>
    <w:rsid w:val="00B27691"/>
    <w:rsid w:val="00B27FEE"/>
    <w:rsid w:val="00B30B28"/>
    <w:rsid w:val="00B3198D"/>
    <w:rsid w:val="00B31BE1"/>
    <w:rsid w:val="00B32283"/>
    <w:rsid w:val="00B32D90"/>
    <w:rsid w:val="00B33075"/>
    <w:rsid w:val="00B34593"/>
    <w:rsid w:val="00B3531F"/>
    <w:rsid w:val="00B35F41"/>
    <w:rsid w:val="00B3746E"/>
    <w:rsid w:val="00B40201"/>
    <w:rsid w:val="00B403C0"/>
    <w:rsid w:val="00B40458"/>
    <w:rsid w:val="00B4159C"/>
    <w:rsid w:val="00B42C61"/>
    <w:rsid w:val="00B453EF"/>
    <w:rsid w:val="00B467E0"/>
    <w:rsid w:val="00B47C7D"/>
    <w:rsid w:val="00B51678"/>
    <w:rsid w:val="00B51687"/>
    <w:rsid w:val="00B518CE"/>
    <w:rsid w:val="00B52233"/>
    <w:rsid w:val="00B525FE"/>
    <w:rsid w:val="00B530D0"/>
    <w:rsid w:val="00B53108"/>
    <w:rsid w:val="00B5541E"/>
    <w:rsid w:val="00B569EE"/>
    <w:rsid w:val="00B61141"/>
    <w:rsid w:val="00B61F77"/>
    <w:rsid w:val="00B62487"/>
    <w:rsid w:val="00B66003"/>
    <w:rsid w:val="00B660EF"/>
    <w:rsid w:val="00B67392"/>
    <w:rsid w:val="00B67FDE"/>
    <w:rsid w:val="00B7009E"/>
    <w:rsid w:val="00B709B7"/>
    <w:rsid w:val="00B70EE6"/>
    <w:rsid w:val="00B71BE0"/>
    <w:rsid w:val="00B71C1A"/>
    <w:rsid w:val="00B72727"/>
    <w:rsid w:val="00B72A96"/>
    <w:rsid w:val="00B73787"/>
    <w:rsid w:val="00B73E5E"/>
    <w:rsid w:val="00B73F4B"/>
    <w:rsid w:val="00B7457F"/>
    <w:rsid w:val="00B765ED"/>
    <w:rsid w:val="00B768AA"/>
    <w:rsid w:val="00B76E42"/>
    <w:rsid w:val="00B77590"/>
    <w:rsid w:val="00B81440"/>
    <w:rsid w:val="00B8192D"/>
    <w:rsid w:val="00B8244E"/>
    <w:rsid w:val="00B8417F"/>
    <w:rsid w:val="00B85AD9"/>
    <w:rsid w:val="00B8644B"/>
    <w:rsid w:val="00B87A07"/>
    <w:rsid w:val="00B87ABC"/>
    <w:rsid w:val="00B911D2"/>
    <w:rsid w:val="00B933D3"/>
    <w:rsid w:val="00B94448"/>
    <w:rsid w:val="00B964B7"/>
    <w:rsid w:val="00BA1A97"/>
    <w:rsid w:val="00BA3756"/>
    <w:rsid w:val="00BA3AAF"/>
    <w:rsid w:val="00BA459C"/>
    <w:rsid w:val="00BA47E9"/>
    <w:rsid w:val="00BA5617"/>
    <w:rsid w:val="00BA6590"/>
    <w:rsid w:val="00BB32F1"/>
    <w:rsid w:val="00BB32FB"/>
    <w:rsid w:val="00BB3936"/>
    <w:rsid w:val="00BB3BFE"/>
    <w:rsid w:val="00BB455F"/>
    <w:rsid w:val="00BB6BA4"/>
    <w:rsid w:val="00BC013E"/>
    <w:rsid w:val="00BC18C7"/>
    <w:rsid w:val="00BC197B"/>
    <w:rsid w:val="00BC4307"/>
    <w:rsid w:val="00BC5EB3"/>
    <w:rsid w:val="00BC658A"/>
    <w:rsid w:val="00BC7A2E"/>
    <w:rsid w:val="00BD25C8"/>
    <w:rsid w:val="00BD485C"/>
    <w:rsid w:val="00BD4EC2"/>
    <w:rsid w:val="00BD6779"/>
    <w:rsid w:val="00BD7AD7"/>
    <w:rsid w:val="00BE0289"/>
    <w:rsid w:val="00BE19E6"/>
    <w:rsid w:val="00BE1B5B"/>
    <w:rsid w:val="00BE2FA9"/>
    <w:rsid w:val="00BE3C78"/>
    <w:rsid w:val="00BE5749"/>
    <w:rsid w:val="00BE5EFC"/>
    <w:rsid w:val="00BE63B7"/>
    <w:rsid w:val="00BE7443"/>
    <w:rsid w:val="00BF0183"/>
    <w:rsid w:val="00BF0500"/>
    <w:rsid w:val="00BF0E21"/>
    <w:rsid w:val="00BF3A9B"/>
    <w:rsid w:val="00BF522A"/>
    <w:rsid w:val="00BF5CB8"/>
    <w:rsid w:val="00BF5DCF"/>
    <w:rsid w:val="00BF68AE"/>
    <w:rsid w:val="00BF7836"/>
    <w:rsid w:val="00C003EF"/>
    <w:rsid w:val="00C00515"/>
    <w:rsid w:val="00C013F8"/>
    <w:rsid w:val="00C031D9"/>
    <w:rsid w:val="00C035AA"/>
    <w:rsid w:val="00C0485B"/>
    <w:rsid w:val="00C0661E"/>
    <w:rsid w:val="00C070C2"/>
    <w:rsid w:val="00C07543"/>
    <w:rsid w:val="00C1043C"/>
    <w:rsid w:val="00C11F7D"/>
    <w:rsid w:val="00C1360C"/>
    <w:rsid w:val="00C14F93"/>
    <w:rsid w:val="00C154CC"/>
    <w:rsid w:val="00C16281"/>
    <w:rsid w:val="00C17AD0"/>
    <w:rsid w:val="00C17E87"/>
    <w:rsid w:val="00C208E9"/>
    <w:rsid w:val="00C20B20"/>
    <w:rsid w:val="00C21C09"/>
    <w:rsid w:val="00C23B6B"/>
    <w:rsid w:val="00C251E5"/>
    <w:rsid w:val="00C257E7"/>
    <w:rsid w:val="00C27658"/>
    <w:rsid w:val="00C3077A"/>
    <w:rsid w:val="00C33912"/>
    <w:rsid w:val="00C343F0"/>
    <w:rsid w:val="00C346C4"/>
    <w:rsid w:val="00C3622B"/>
    <w:rsid w:val="00C36325"/>
    <w:rsid w:val="00C36378"/>
    <w:rsid w:val="00C375A8"/>
    <w:rsid w:val="00C37FB9"/>
    <w:rsid w:val="00C43BBC"/>
    <w:rsid w:val="00C43E75"/>
    <w:rsid w:val="00C44696"/>
    <w:rsid w:val="00C4516C"/>
    <w:rsid w:val="00C45F31"/>
    <w:rsid w:val="00C4639C"/>
    <w:rsid w:val="00C4640C"/>
    <w:rsid w:val="00C50701"/>
    <w:rsid w:val="00C509DD"/>
    <w:rsid w:val="00C50D1D"/>
    <w:rsid w:val="00C5128A"/>
    <w:rsid w:val="00C51842"/>
    <w:rsid w:val="00C52053"/>
    <w:rsid w:val="00C520D3"/>
    <w:rsid w:val="00C5498B"/>
    <w:rsid w:val="00C54D63"/>
    <w:rsid w:val="00C578CD"/>
    <w:rsid w:val="00C61713"/>
    <w:rsid w:val="00C61F8D"/>
    <w:rsid w:val="00C620E5"/>
    <w:rsid w:val="00C63415"/>
    <w:rsid w:val="00C639DD"/>
    <w:rsid w:val="00C6433F"/>
    <w:rsid w:val="00C66E31"/>
    <w:rsid w:val="00C67086"/>
    <w:rsid w:val="00C672FC"/>
    <w:rsid w:val="00C708FD"/>
    <w:rsid w:val="00C711F1"/>
    <w:rsid w:val="00C72573"/>
    <w:rsid w:val="00C731E2"/>
    <w:rsid w:val="00C7348C"/>
    <w:rsid w:val="00C73A68"/>
    <w:rsid w:val="00C745AB"/>
    <w:rsid w:val="00C75214"/>
    <w:rsid w:val="00C75DA4"/>
    <w:rsid w:val="00C76693"/>
    <w:rsid w:val="00C76D36"/>
    <w:rsid w:val="00C8004E"/>
    <w:rsid w:val="00C80839"/>
    <w:rsid w:val="00C80E13"/>
    <w:rsid w:val="00C84450"/>
    <w:rsid w:val="00C85625"/>
    <w:rsid w:val="00C86552"/>
    <w:rsid w:val="00C8670B"/>
    <w:rsid w:val="00C941F6"/>
    <w:rsid w:val="00C95829"/>
    <w:rsid w:val="00C97B05"/>
    <w:rsid w:val="00CA05FA"/>
    <w:rsid w:val="00CA378C"/>
    <w:rsid w:val="00CA4B07"/>
    <w:rsid w:val="00CA4CB6"/>
    <w:rsid w:val="00CA57CE"/>
    <w:rsid w:val="00CA6828"/>
    <w:rsid w:val="00CA7CA4"/>
    <w:rsid w:val="00CB16D2"/>
    <w:rsid w:val="00CB22DA"/>
    <w:rsid w:val="00CB3D16"/>
    <w:rsid w:val="00CB4062"/>
    <w:rsid w:val="00CB4B37"/>
    <w:rsid w:val="00CB68A1"/>
    <w:rsid w:val="00CB6DA3"/>
    <w:rsid w:val="00CB7E29"/>
    <w:rsid w:val="00CC013F"/>
    <w:rsid w:val="00CC1AB5"/>
    <w:rsid w:val="00CC4938"/>
    <w:rsid w:val="00CC4DED"/>
    <w:rsid w:val="00CC5C99"/>
    <w:rsid w:val="00CC698B"/>
    <w:rsid w:val="00CC6DE4"/>
    <w:rsid w:val="00CD080D"/>
    <w:rsid w:val="00CD1E58"/>
    <w:rsid w:val="00CD241F"/>
    <w:rsid w:val="00CD2571"/>
    <w:rsid w:val="00CD2C48"/>
    <w:rsid w:val="00CD5D19"/>
    <w:rsid w:val="00CD611B"/>
    <w:rsid w:val="00CD68D5"/>
    <w:rsid w:val="00CD69BB"/>
    <w:rsid w:val="00CD7B97"/>
    <w:rsid w:val="00CE00E4"/>
    <w:rsid w:val="00CE0BAE"/>
    <w:rsid w:val="00CE44F8"/>
    <w:rsid w:val="00CE6153"/>
    <w:rsid w:val="00CE73B2"/>
    <w:rsid w:val="00CF013E"/>
    <w:rsid w:val="00CF094C"/>
    <w:rsid w:val="00CF09E7"/>
    <w:rsid w:val="00CF0B6F"/>
    <w:rsid w:val="00CF0D37"/>
    <w:rsid w:val="00CF2608"/>
    <w:rsid w:val="00CF2644"/>
    <w:rsid w:val="00CF2708"/>
    <w:rsid w:val="00CF2DAC"/>
    <w:rsid w:val="00CF3288"/>
    <w:rsid w:val="00CF359C"/>
    <w:rsid w:val="00CF4553"/>
    <w:rsid w:val="00CF4795"/>
    <w:rsid w:val="00CF48BB"/>
    <w:rsid w:val="00CF4928"/>
    <w:rsid w:val="00CF7F1F"/>
    <w:rsid w:val="00D00690"/>
    <w:rsid w:val="00D00778"/>
    <w:rsid w:val="00D00A9C"/>
    <w:rsid w:val="00D00F8F"/>
    <w:rsid w:val="00D0143E"/>
    <w:rsid w:val="00D02D41"/>
    <w:rsid w:val="00D031DB"/>
    <w:rsid w:val="00D03FBC"/>
    <w:rsid w:val="00D040D4"/>
    <w:rsid w:val="00D049C2"/>
    <w:rsid w:val="00D0619C"/>
    <w:rsid w:val="00D114F3"/>
    <w:rsid w:val="00D116C5"/>
    <w:rsid w:val="00D117CC"/>
    <w:rsid w:val="00D12283"/>
    <w:rsid w:val="00D12382"/>
    <w:rsid w:val="00D124F4"/>
    <w:rsid w:val="00D12F0A"/>
    <w:rsid w:val="00D130F1"/>
    <w:rsid w:val="00D158FB"/>
    <w:rsid w:val="00D15C75"/>
    <w:rsid w:val="00D1785B"/>
    <w:rsid w:val="00D17864"/>
    <w:rsid w:val="00D20547"/>
    <w:rsid w:val="00D2072D"/>
    <w:rsid w:val="00D21214"/>
    <w:rsid w:val="00D22B58"/>
    <w:rsid w:val="00D22E06"/>
    <w:rsid w:val="00D236C5"/>
    <w:rsid w:val="00D24DC8"/>
    <w:rsid w:val="00D26459"/>
    <w:rsid w:val="00D272C2"/>
    <w:rsid w:val="00D27B81"/>
    <w:rsid w:val="00D27B92"/>
    <w:rsid w:val="00D27E2E"/>
    <w:rsid w:val="00D309C7"/>
    <w:rsid w:val="00D32DEC"/>
    <w:rsid w:val="00D33014"/>
    <w:rsid w:val="00D351C1"/>
    <w:rsid w:val="00D36F82"/>
    <w:rsid w:val="00D373FD"/>
    <w:rsid w:val="00D40F94"/>
    <w:rsid w:val="00D4243B"/>
    <w:rsid w:val="00D43952"/>
    <w:rsid w:val="00D4483A"/>
    <w:rsid w:val="00D461FD"/>
    <w:rsid w:val="00D50E84"/>
    <w:rsid w:val="00D5170C"/>
    <w:rsid w:val="00D52C2C"/>
    <w:rsid w:val="00D53E90"/>
    <w:rsid w:val="00D559A6"/>
    <w:rsid w:val="00D55B41"/>
    <w:rsid w:val="00D56107"/>
    <w:rsid w:val="00D61003"/>
    <w:rsid w:val="00D64C49"/>
    <w:rsid w:val="00D653DB"/>
    <w:rsid w:val="00D656BE"/>
    <w:rsid w:val="00D65DF6"/>
    <w:rsid w:val="00D67131"/>
    <w:rsid w:val="00D72471"/>
    <w:rsid w:val="00D73A32"/>
    <w:rsid w:val="00D73D47"/>
    <w:rsid w:val="00D75D1D"/>
    <w:rsid w:val="00D81284"/>
    <w:rsid w:val="00D8186F"/>
    <w:rsid w:val="00D81B6E"/>
    <w:rsid w:val="00D82228"/>
    <w:rsid w:val="00D82990"/>
    <w:rsid w:val="00D83A2A"/>
    <w:rsid w:val="00D84B8E"/>
    <w:rsid w:val="00D902A9"/>
    <w:rsid w:val="00D9244D"/>
    <w:rsid w:val="00D92E3B"/>
    <w:rsid w:val="00D9342A"/>
    <w:rsid w:val="00D936F8"/>
    <w:rsid w:val="00D9607D"/>
    <w:rsid w:val="00D96D30"/>
    <w:rsid w:val="00D96EA0"/>
    <w:rsid w:val="00DA09E6"/>
    <w:rsid w:val="00DA125A"/>
    <w:rsid w:val="00DA134E"/>
    <w:rsid w:val="00DA1437"/>
    <w:rsid w:val="00DA26BE"/>
    <w:rsid w:val="00DA2862"/>
    <w:rsid w:val="00DA30A4"/>
    <w:rsid w:val="00DA4FAC"/>
    <w:rsid w:val="00DA5103"/>
    <w:rsid w:val="00DA560E"/>
    <w:rsid w:val="00DA5C42"/>
    <w:rsid w:val="00DA5D0F"/>
    <w:rsid w:val="00DA7317"/>
    <w:rsid w:val="00DA7970"/>
    <w:rsid w:val="00DB0086"/>
    <w:rsid w:val="00DB5E79"/>
    <w:rsid w:val="00DB700D"/>
    <w:rsid w:val="00DB7134"/>
    <w:rsid w:val="00DB7850"/>
    <w:rsid w:val="00DB7E32"/>
    <w:rsid w:val="00DC279E"/>
    <w:rsid w:val="00DC3248"/>
    <w:rsid w:val="00DC343B"/>
    <w:rsid w:val="00DC4047"/>
    <w:rsid w:val="00DC4190"/>
    <w:rsid w:val="00DC74BE"/>
    <w:rsid w:val="00DC7624"/>
    <w:rsid w:val="00DD38EB"/>
    <w:rsid w:val="00DD3C5E"/>
    <w:rsid w:val="00DD4205"/>
    <w:rsid w:val="00DD4F98"/>
    <w:rsid w:val="00DD5692"/>
    <w:rsid w:val="00DD5ABC"/>
    <w:rsid w:val="00DD5B9E"/>
    <w:rsid w:val="00DD63B1"/>
    <w:rsid w:val="00DD7566"/>
    <w:rsid w:val="00DE05C7"/>
    <w:rsid w:val="00DE2522"/>
    <w:rsid w:val="00DE3AC2"/>
    <w:rsid w:val="00DE3C52"/>
    <w:rsid w:val="00DE41F5"/>
    <w:rsid w:val="00DE47B2"/>
    <w:rsid w:val="00DF0786"/>
    <w:rsid w:val="00DF2E5A"/>
    <w:rsid w:val="00DF30D6"/>
    <w:rsid w:val="00DF311F"/>
    <w:rsid w:val="00DF4027"/>
    <w:rsid w:val="00DF4675"/>
    <w:rsid w:val="00DF54EA"/>
    <w:rsid w:val="00DF6A2A"/>
    <w:rsid w:val="00DF6A7E"/>
    <w:rsid w:val="00E00834"/>
    <w:rsid w:val="00E029CF"/>
    <w:rsid w:val="00E0356A"/>
    <w:rsid w:val="00E03CE0"/>
    <w:rsid w:val="00E05C38"/>
    <w:rsid w:val="00E06A32"/>
    <w:rsid w:val="00E07D6A"/>
    <w:rsid w:val="00E10201"/>
    <w:rsid w:val="00E10416"/>
    <w:rsid w:val="00E11654"/>
    <w:rsid w:val="00E11CF1"/>
    <w:rsid w:val="00E12A30"/>
    <w:rsid w:val="00E135D7"/>
    <w:rsid w:val="00E14A0A"/>
    <w:rsid w:val="00E16528"/>
    <w:rsid w:val="00E23302"/>
    <w:rsid w:val="00E24798"/>
    <w:rsid w:val="00E25A62"/>
    <w:rsid w:val="00E25CCF"/>
    <w:rsid w:val="00E25F1F"/>
    <w:rsid w:val="00E26524"/>
    <w:rsid w:val="00E26B46"/>
    <w:rsid w:val="00E318E8"/>
    <w:rsid w:val="00E3374D"/>
    <w:rsid w:val="00E33987"/>
    <w:rsid w:val="00E35086"/>
    <w:rsid w:val="00E35C4B"/>
    <w:rsid w:val="00E36550"/>
    <w:rsid w:val="00E406FB"/>
    <w:rsid w:val="00E41B41"/>
    <w:rsid w:val="00E41BB2"/>
    <w:rsid w:val="00E43772"/>
    <w:rsid w:val="00E43E5F"/>
    <w:rsid w:val="00E43EE9"/>
    <w:rsid w:val="00E44CD1"/>
    <w:rsid w:val="00E45515"/>
    <w:rsid w:val="00E45902"/>
    <w:rsid w:val="00E46A1E"/>
    <w:rsid w:val="00E50505"/>
    <w:rsid w:val="00E50B17"/>
    <w:rsid w:val="00E52B4A"/>
    <w:rsid w:val="00E52BF2"/>
    <w:rsid w:val="00E534B4"/>
    <w:rsid w:val="00E53693"/>
    <w:rsid w:val="00E5389B"/>
    <w:rsid w:val="00E540D7"/>
    <w:rsid w:val="00E55BAD"/>
    <w:rsid w:val="00E55DAC"/>
    <w:rsid w:val="00E56624"/>
    <w:rsid w:val="00E56A11"/>
    <w:rsid w:val="00E5725D"/>
    <w:rsid w:val="00E57CD7"/>
    <w:rsid w:val="00E62BCE"/>
    <w:rsid w:val="00E64398"/>
    <w:rsid w:val="00E657D4"/>
    <w:rsid w:val="00E65AA2"/>
    <w:rsid w:val="00E65D1F"/>
    <w:rsid w:val="00E666FE"/>
    <w:rsid w:val="00E66879"/>
    <w:rsid w:val="00E669CA"/>
    <w:rsid w:val="00E66AB9"/>
    <w:rsid w:val="00E677B2"/>
    <w:rsid w:val="00E67DA3"/>
    <w:rsid w:val="00E67E53"/>
    <w:rsid w:val="00E70ECB"/>
    <w:rsid w:val="00E715BA"/>
    <w:rsid w:val="00E71A06"/>
    <w:rsid w:val="00E731F9"/>
    <w:rsid w:val="00E739BE"/>
    <w:rsid w:val="00E73FAD"/>
    <w:rsid w:val="00E74ED7"/>
    <w:rsid w:val="00E75F38"/>
    <w:rsid w:val="00E76EA6"/>
    <w:rsid w:val="00E7761E"/>
    <w:rsid w:val="00E812BD"/>
    <w:rsid w:val="00E82470"/>
    <w:rsid w:val="00E831A8"/>
    <w:rsid w:val="00E831A9"/>
    <w:rsid w:val="00E8687A"/>
    <w:rsid w:val="00E86B5A"/>
    <w:rsid w:val="00E86E38"/>
    <w:rsid w:val="00E8771F"/>
    <w:rsid w:val="00E90CCD"/>
    <w:rsid w:val="00E911EB"/>
    <w:rsid w:val="00E919ED"/>
    <w:rsid w:val="00E95752"/>
    <w:rsid w:val="00E96270"/>
    <w:rsid w:val="00EA11E5"/>
    <w:rsid w:val="00EA1368"/>
    <w:rsid w:val="00EA1CE4"/>
    <w:rsid w:val="00EA1F86"/>
    <w:rsid w:val="00EA444D"/>
    <w:rsid w:val="00EA5DBB"/>
    <w:rsid w:val="00EA6039"/>
    <w:rsid w:val="00EA7018"/>
    <w:rsid w:val="00EA7257"/>
    <w:rsid w:val="00EA7637"/>
    <w:rsid w:val="00EB08A3"/>
    <w:rsid w:val="00EB0FBF"/>
    <w:rsid w:val="00EB1364"/>
    <w:rsid w:val="00EB1D41"/>
    <w:rsid w:val="00EB30C1"/>
    <w:rsid w:val="00EB5456"/>
    <w:rsid w:val="00EB6560"/>
    <w:rsid w:val="00EB710C"/>
    <w:rsid w:val="00EB77F2"/>
    <w:rsid w:val="00EC3842"/>
    <w:rsid w:val="00EC4BEF"/>
    <w:rsid w:val="00EC6816"/>
    <w:rsid w:val="00EC6CD4"/>
    <w:rsid w:val="00EC7237"/>
    <w:rsid w:val="00EC7A80"/>
    <w:rsid w:val="00ED0895"/>
    <w:rsid w:val="00ED0FEA"/>
    <w:rsid w:val="00ED1695"/>
    <w:rsid w:val="00ED37AE"/>
    <w:rsid w:val="00ED4073"/>
    <w:rsid w:val="00ED51D6"/>
    <w:rsid w:val="00EE0797"/>
    <w:rsid w:val="00EE2D5E"/>
    <w:rsid w:val="00EE3333"/>
    <w:rsid w:val="00EE42E2"/>
    <w:rsid w:val="00EE5CB3"/>
    <w:rsid w:val="00EE751D"/>
    <w:rsid w:val="00EF07DB"/>
    <w:rsid w:val="00EF0A5D"/>
    <w:rsid w:val="00EF37A2"/>
    <w:rsid w:val="00EF3ED7"/>
    <w:rsid w:val="00EF42E0"/>
    <w:rsid w:val="00EF473A"/>
    <w:rsid w:val="00EF52F0"/>
    <w:rsid w:val="00EF5B55"/>
    <w:rsid w:val="00F01888"/>
    <w:rsid w:val="00F01D5A"/>
    <w:rsid w:val="00F04111"/>
    <w:rsid w:val="00F04CE7"/>
    <w:rsid w:val="00F05377"/>
    <w:rsid w:val="00F058EC"/>
    <w:rsid w:val="00F059D6"/>
    <w:rsid w:val="00F06150"/>
    <w:rsid w:val="00F06B1E"/>
    <w:rsid w:val="00F10094"/>
    <w:rsid w:val="00F10096"/>
    <w:rsid w:val="00F10CD5"/>
    <w:rsid w:val="00F11977"/>
    <w:rsid w:val="00F11999"/>
    <w:rsid w:val="00F119DE"/>
    <w:rsid w:val="00F13CE5"/>
    <w:rsid w:val="00F14011"/>
    <w:rsid w:val="00F148DC"/>
    <w:rsid w:val="00F14DC1"/>
    <w:rsid w:val="00F15F8B"/>
    <w:rsid w:val="00F16DDC"/>
    <w:rsid w:val="00F17107"/>
    <w:rsid w:val="00F202A1"/>
    <w:rsid w:val="00F22620"/>
    <w:rsid w:val="00F22A6A"/>
    <w:rsid w:val="00F23A5F"/>
    <w:rsid w:val="00F24084"/>
    <w:rsid w:val="00F24B38"/>
    <w:rsid w:val="00F24E2D"/>
    <w:rsid w:val="00F25930"/>
    <w:rsid w:val="00F27EBD"/>
    <w:rsid w:val="00F321C4"/>
    <w:rsid w:val="00F34A0F"/>
    <w:rsid w:val="00F363C9"/>
    <w:rsid w:val="00F36C7B"/>
    <w:rsid w:val="00F4236A"/>
    <w:rsid w:val="00F430B3"/>
    <w:rsid w:val="00F442E4"/>
    <w:rsid w:val="00F44A90"/>
    <w:rsid w:val="00F44AF1"/>
    <w:rsid w:val="00F44B2D"/>
    <w:rsid w:val="00F467D1"/>
    <w:rsid w:val="00F470C7"/>
    <w:rsid w:val="00F50B6F"/>
    <w:rsid w:val="00F51000"/>
    <w:rsid w:val="00F52F1A"/>
    <w:rsid w:val="00F53FDB"/>
    <w:rsid w:val="00F54FFF"/>
    <w:rsid w:val="00F5512B"/>
    <w:rsid w:val="00F574AF"/>
    <w:rsid w:val="00F57CFA"/>
    <w:rsid w:val="00F60873"/>
    <w:rsid w:val="00F61312"/>
    <w:rsid w:val="00F63A25"/>
    <w:rsid w:val="00F63C80"/>
    <w:rsid w:val="00F6401E"/>
    <w:rsid w:val="00F650CA"/>
    <w:rsid w:val="00F67CA2"/>
    <w:rsid w:val="00F75729"/>
    <w:rsid w:val="00F769B7"/>
    <w:rsid w:val="00F76D48"/>
    <w:rsid w:val="00F7728C"/>
    <w:rsid w:val="00F7796B"/>
    <w:rsid w:val="00F80597"/>
    <w:rsid w:val="00F8348B"/>
    <w:rsid w:val="00F837CF"/>
    <w:rsid w:val="00F83ADF"/>
    <w:rsid w:val="00F853F0"/>
    <w:rsid w:val="00F90A58"/>
    <w:rsid w:val="00F90DDF"/>
    <w:rsid w:val="00F90DF5"/>
    <w:rsid w:val="00F91F85"/>
    <w:rsid w:val="00F938ED"/>
    <w:rsid w:val="00F940F7"/>
    <w:rsid w:val="00F943B7"/>
    <w:rsid w:val="00F94947"/>
    <w:rsid w:val="00F952FB"/>
    <w:rsid w:val="00FA19EF"/>
    <w:rsid w:val="00FA1D12"/>
    <w:rsid w:val="00FA26F0"/>
    <w:rsid w:val="00FA430A"/>
    <w:rsid w:val="00FA4917"/>
    <w:rsid w:val="00FA4FA4"/>
    <w:rsid w:val="00FA529D"/>
    <w:rsid w:val="00FA5764"/>
    <w:rsid w:val="00FA5EF5"/>
    <w:rsid w:val="00FA7156"/>
    <w:rsid w:val="00FA75DA"/>
    <w:rsid w:val="00FA76BC"/>
    <w:rsid w:val="00FB0776"/>
    <w:rsid w:val="00FB14C0"/>
    <w:rsid w:val="00FB1C49"/>
    <w:rsid w:val="00FB1FF9"/>
    <w:rsid w:val="00FB3183"/>
    <w:rsid w:val="00FB41D2"/>
    <w:rsid w:val="00FB6691"/>
    <w:rsid w:val="00FB68A2"/>
    <w:rsid w:val="00FB7A0F"/>
    <w:rsid w:val="00FC024C"/>
    <w:rsid w:val="00FC0E0F"/>
    <w:rsid w:val="00FC2D24"/>
    <w:rsid w:val="00FC4817"/>
    <w:rsid w:val="00FC4CAB"/>
    <w:rsid w:val="00FC5C99"/>
    <w:rsid w:val="00FC7924"/>
    <w:rsid w:val="00FD04D3"/>
    <w:rsid w:val="00FD073D"/>
    <w:rsid w:val="00FD0D06"/>
    <w:rsid w:val="00FD12B4"/>
    <w:rsid w:val="00FD3291"/>
    <w:rsid w:val="00FD41A0"/>
    <w:rsid w:val="00FD42F1"/>
    <w:rsid w:val="00FD49C4"/>
    <w:rsid w:val="00FD63D8"/>
    <w:rsid w:val="00FD6ADA"/>
    <w:rsid w:val="00FD708B"/>
    <w:rsid w:val="00FE00D3"/>
    <w:rsid w:val="00FE0382"/>
    <w:rsid w:val="00FE06E6"/>
    <w:rsid w:val="00FE1276"/>
    <w:rsid w:val="00FE2017"/>
    <w:rsid w:val="00FE221E"/>
    <w:rsid w:val="00FE2B34"/>
    <w:rsid w:val="00FE4125"/>
    <w:rsid w:val="00FE4CF8"/>
    <w:rsid w:val="00FE7336"/>
    <w:rsid w:val="00FE78E1"/>
    <w:rsid w:val="00FF0370"/>
    <w:rsid w:val="00FF042C"/>
    <w:rsid w:val="00FF1AF0"/>
    <w:rsid w:val="00FF1D23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8D944"/>
  <w15:chartTrackingRefBased/>
  <w15:docId w15:val="{2ACBD966-9D5F-49B3-8646-1543FAC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5930"/>
  </w:style>
  <w:style w:type="paragraph" w:styleId="Cmsor1">
    <w:name w:val="heading 1"/>
    <w:basedOn w:val="Norml"/>
    <w:next w:val="Norml"/>
    <w:qFormat/>
    <w:pPr>
      <w:keepNext/>
      <w:widowControl w:val="0"/>
      <w:jc w:val="both"/>
      <w:outlineLvl w:val="0"/>
    </w:pPr>
    <w:rPr>
      <w:b/>
      <w:snapToGrid w:val="0"/>
      <w:color w:val="FF0000"/>
      <w:sz w:val="24"/>
    </w:rPr>
  </w:style>
  <w:style w:type="paragraph" w:styleId="Cmsor2">
    <w:name w:val="heading 2"/>
    <w:basedOn w:val="Norml"/>
    <w:next w:val="Norml"/>
    <w:qFormat/>
    <w:pPr>
      <w:keepNext/>
      <w:widowControl w:val="0"/>
      <w:numPr>
        <w:ilvl w:val="2"/>
        <w:numId w:val="1"/>
      </w:numPr>
      <w:tabs>
        <w:tab w:val="clear" w:pos="2700"/>
        <w:tab w:val="num" w:pos="0"/>
      </w:tabs>
      <w:ind w:left="284" w:hanging="284"/>
      <w:jc w:val="both"/>
      <w:outlineLvl w:val="1"/>
    </w:pPr>
    <w:rPr>
      <w:b/>
      <w:snapToGrid w:val="0"/>
      <w:color w:val="FF0000"/>
      <w:sz w:val="24"/>
    </w:rPr>
  </w:style>
  <w:style w:type="paragraph" w:styleId="Cmsor3">
    <w:name w:val="heading 3"/>
    <w:basedOn w:val="Norml"/>
    <w:next w:val="Norml"/>
    <w:qFormat/>
    <w:pPr>
      <w:keepNext/>
      <w:overflowPunct w:val="0"/>
      <w:autoSpaceDE w:val="0"/>
      <w:autoSpaceDN w:val="0"/>
      <w:adjustRightInd w:val="0"/>
      <w:spacing w:before="120" w:after="120"/>
      <w:ind w:left="1134" w:hanging="595"/>
      <w:jc w:val="both"/>
      <w:textAlignment w:val="baseline"/>
      <w:outlineLvl w:val="2"/>
    </w:pPr>
    <w:rPr>
      <w:b/>
      <w:bCs/>
      <w:i/>
      <w:iCs/>
      <w:sz w:val="26"/>
    </w:rPr>
  </w:style>
  <w:style w:type="paragraph" w:styleId="Cmsor4">
    <w:name w:val="heading 4"/>
    <w:basedOn w:val="Norml"/>
    <w:next w:val="Norml"/>
    <w:qFormat/>
    <w:pPr>
      <w:keepNext/>
      <w:outlineLvl w:val="3"/>
    </w:pPr>
    <w:rPr>
      <w:rFonts w:ascii="Arial" w:hAnsi="Arial" w:cs="Arial"/>
      <w:bCs/>
      <w:i/>
      <w:iCs/>
      <w:sz w:val="24"/>
    </w:rPr>
  </w:style>
  <w:style w:type="paragraph" w:styleId="Cmsor5">
    <w:name w:val="heading 5"/>
    <w:basedOn w:val="Norml"/>
    <w:next w:val="Norml"/>
    <w:qFormat/>
    <w:pPr>
      <w:keepNext/>
      <w:ind w:firstLine="709"/>
      <w:jc w:val="both"/>
      <w:outlineLvl w:val="4"/>
    </w:pPr>
    <w:rPr>
      <w:rFonts w:ascii="Arial" w:hAnsi="Arial" w:cs="Arial"/>
      <w:bCs/>
      <w:i/>
      <w:sz w:val="24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rFonts w:ascii="Arial" w:hAnsi="Arial" w:cs="Arial"/>
      <w:b/>
      <w:i/>
      <w:iCs/>
      <w:sz w:val="24"/>
    </w:rPr>
  </w:style>
  <w:style w:type="paragraph" w:styleId="Cmsor7">
    <w:name w:val="heading 7"/>
    <w:basedOn w:val="Norml"/>
    <w:next w:val="Norml"/>
    <w:qFormat/>
    <w:pPr>
      <w:keepNext/>
      <w:outlineLvl w:val="6"/>
    </w:pPr>
    <w:rPr>
      <w:rFonts w:ascii="Arial" w:hAnsi="Arial" w:cs="Arial"/>
      <w:b/>
      <w:bCs/>
      <w:i/>
      <w:sz w:val="24"/>
      <w:u w:val="single"/>
    </w:rPr>
  </w:style>
  <w:style w:type="paragraph" w:styleId="Cmsor8">
    <w:name w:val="heading 8"/>
    <w:basedOn w:val="Norml"/>
    <w:next w:val="Norml"/>
    <w:qFormat/>
    <w:pPr>
      <w:keepNext/>
      <w:jc w:val="both"/>
      <w:outlineLvl w:val="7"/>
    </w:pPr>
    <w:rPr>
      <w:rFonts w:ascii="Arial" w:hAnsi="Arial" w:cs="Arial"/>
      <w:i/>
      <w:iCs/>
      <w:sz w:val="24"/>
    </w:rPr>
  </w:style>
  <w:style w:type="paragraph" w:styleId="Cmsor9">
    <w:name w:val="heading 9"/>
    <w:basedOn w:val="Norml"/>
    <w:next w:val="Norml"/>
    <w:qFormat/>
    <w:pPr>
      <w:keepNext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widowControl w:val="0"/>
      <w:jc w:val="both"/>
    </w:pPr>
    <w:rPr>
      <w:b/>
      <w:snapToGrid w:val="0"/>
      <w:color w:val="FF0000"/>
      <w:sz w:val="24"/>
    </w:rPr>
  </w:style>
  <w:style w:type="paragraph" w:styleId="Szvegtrzs2">
    <w:name w:val="Body Text 2"/>
    <w:basedOn w:val="Norml"/>
    <w:pPr>
      <w:jc w:val="center"/>
    </w:pPr>
    <w:rPr>
      <w:b/>
      <w:sz w:val="28"/>
    </w:rPr>
  </w:style>
  <w:style w:type="paragraph" w:styleId="Felsorols2">
    <w:name w:val="List Bullet 2"/>
    <w:basedOn w:val="Norml"/>
    <w:autoRedefine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 w:val="26"/>
    </w:rPr>
  </w:style>
  <w:style w:type="paragraph" w:styleId="Szvegtrzsbehzssal">
    <w:name w:val="Body Text Indent"/>
    <w:basedOn w:val="Norml"/>
    <w:pPr>
      <w:ind w:left="360"/>
      <w:jc w:val="both"/>
    </w:pPr>
    <w:rPr>
      <w:rFonts w:ascii="Arial" w:hAnsi="Arial" w:cs="Arial"/>
      <w:sz w:val="24"/>
    </w:rPr>
  </w:style>
  <w:style w:type="paragraph" w:styleId="Szvegtrzsbehzssal2">
    <w:name w:val="Body Text Indent 2"/>
    <w:basedOn w:val="Norml"/>
    <w:pPr>
      <w:ind w:left="360"/>
      <w:jc w:val="both"/>
    </w:pPr>
    <w:rPr>
      <w:rFonts w:ascii="Arial" w:hAnsi="Arial" w:cs="Arial"/>
      <w:b/>
      <w:bCs/>
      <w:sz w:val="24"/>
    </w:rPr>
  </w:style>
  <w:style w:type="paragraph" w:styleId="Szvegtrzsbehzssal3">
    <w:name w:val="Body Text Indent 3"/>
    <w:basedOn w:val="Norml"/>
    <w:pPr>
      <w:ind w:left="284" w:hanging="284"/>
      <w:jc w:val="both"/>
    </w:pPr>
    <w:rPr>
      <w:rFonts w:ascii="Arial" w:hAnsi="Arial" w:cs="Arial"/>
      <w:b/>
      <w:bCs/>
      <w:sz w:val="24"/>
    </w:rPr>
  </w:style>
  <w:style w:type="paragraph" w:styleId="Szvegtrzs3">
    <w:name w:val="Body Text 3"/>
    <w:basedOn w:val="Norml"/>
    <w:pPr>
      <w:jc w:val="both"/>
    </w:pPr>
    <w:rPr>
      <w:rFonts w:ascii="Arial" w:hAnsi="Arial" w:cs="Arial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FD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87014B"/>
    <w:rPr>
      <w:rFonts w:ascii="Tahoma" w:hAnsi="Tahoma" w:cs="Tahoma"/>
      <w:sz w:val="16"/>
      <w:szCs w:val="16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32304"/>
    <w:pPr>
      <w:ind w:left="708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D00778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D00778"/>
    <w:rPr>
      <w:b/>
      <w:bCs/>
    </w:rPr>
  </w:style>
  <w:style w:type="character" w:customStyle="1" w:styleId="apple-converted-space">
    <w:name w:val="apple-converted-space"/>
    <w:rsid w:val="00D00778"/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B5141"/>
    <w:rPr>
      <w:sz w:val="24"/>
      <w:szCs w:val="24"/>
    </w:rPr>
  </w:style>
  <w:style w:type="paragraph" w:customStyle="1" w:styleId="Szvegtrzsbehzssal21">
    <w:name w:val="Szövegtörzs behúzással 21"/>
    <w:basedOn w:val="Norml"/>
    <w:rsid w:val="00096AC0"/>
    <w:pPr>
      <w:ind w:left="426" w:hanging="426"/>
      <w:jc w:val="both"/>
    </w:pPr>
    <w:rPr>
      <w:sz w:val="24"/>
    </w:rPr>
  </w:style>
  <w:style w:type="character" w:customStyle="1" w:styleId="contentpasted0">
    <w:name w:val="contentpasted0"/>
    <w:rsid w:val="00161EA5"/>
  </w:style>
  <w:style w:type="character" w:customStyle="1" w:styleId="Egyiksem">
    <w:name w:val="Egyik sem"/>
    <w:rsid w:val="00B40201"/>
  </w:style>
  <w:style w:type="numbering" w:customStyle="1" w:styleId="Importlt2stlus">
    <w:name w:val="Importált 2 stílus"/>
    <w:rsid w:val="00B40201"/>
    <w:pPr>
      <w:numPr>
        <w:numId w:val="9"/>
      </w:numPr>
    </w:pPr>
  </w:style>
  <w:style w:type="character" w:customStyle="1" w:styleId="EgyiksemA">
    <w:name w:val="Egyik sem A"/>
    <w:rsid w:val="0061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E049-384A-4F97-9A3E-B0CC396E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9</Pages>
  <Words>2590</Words>
  <Characters>19880</Characters>
  <Application>Microsoft Office Word</Application>
  <DocSecurity>0</DocSecurity>
  <Lines>165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</vt:lpstr>
    </vt:vector>
  </TitlesOfParts>
  <Company>Informatikai Iroda</Company>
  <LinksUpToDate>false</LinksUpToDate>
  <CharactersWithSpaces>22426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Stéger Gábor</dc:creator>
  <cp:keywords/>
  <dc:description/>
  <cp:lastModifiedBy>Szakács Eszter</cp:lastModifiedBy>
  <cp:revision>207</cp:revision>
  <cp:lastPrinted>2024-05-23T11:23:00Z</cp:lastPrinted>
  <dcterms:created xsi:type="dcterms:W3CDTF">2024-03-04T09:29:00Z</dcterms:created>
  <dcterms:modified xsi:type="dcterms:W3CDTF">2024-05-23T11:25:00Z</dcterms:modified>
</cp:coreProperties>
</file>