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53D8B8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25456B0B" w14:textId="77777777" w:rsidR="00ED0642" w:rsidRPr="00BF4400" w:rsidRDefault="00ED0642" w:rsidP="00ED064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3284608" w14:textId="77777777" w:rsidR="00ED0642" w:rsidRDefault="00ED0642" w:rsidP="00ED0642">
      <w:pPr>
        <w:outlineLvl w:val="1"/>
        <w:rPr>
          <w:rFonts w:ascii="Calibri" w:hAnsi="Calibri" w:cs="Calibri"/>
          <w:bCs/>
          <w:szCs w:val="22"/>
        </w:rPr>
      </w:pPr>
    </w:p>
    <w:p w14:paraId="6B139438" w14:textId="77777777" w:rsidR="00ED0642" w:rsidRPr="00BF4400" w:rsidRDefault="00ED0642" w:rsidP="00ED064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C458C">
        <w:rPr>
          <w:rFonts w:asciiTheme="minorHAnsi" w:hAnsiTheme="minorHAnsi" w:cstheme="minorHAnsi"/>
          <w:bCs/>
          <w:i/>
          <w:iCs/>
          <w:szCs w:val="22"/>
        </w:rPr>
        <w:t>Javaslat egyes magánerős beruházásban megvalósult lakóterületek önkormányzati tulajdonba vételével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Cs/>
          <w:szCs w:val="22"/>
        </w:rPr>
        <w:t>Zanat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városrészen található Áfonya, Fenyő, Eper, Korpás utcák közterületi funkciójú területei, valamint az azok területén kiépített vízi közművek térítésmentes  tulajdonba és kezelésbe vételéről szóló II.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692A1729" w14:textId="77777777" w:rsidR="00ED0642" w:rsidRPr="00BF4400" w:rsidRDefault="00ED0642" w:rsidP="00ED0642">
      <w:pPr>
        <w:jc w:val="both"/>
        <w:rPr>
          <w:rFonts w:asciiTheme="minorHAnsi" w:hAnsiTheme="minorHAnsi" w:cstheme="minorHAnsi"/>
          <w:bCs/>
          <w:szCs w:val="22"/>
        </w:rPr>
      </w:pPr>
    </w:p>
    <w:p w14:paraId="0EC7729D" w14:textId="77777777" w:rsidR="00ED0642" w:rsidRDefault="00ED0642" w:rsidP="00ED064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484A809" w14:textId="77777777" w:rsidR="00ED0642" w:rsidRPr="00BF4400" w:rsidRDefault="00ED0642" w:rsidP="00ED064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2F212F" w14:textId="77777777" w:rsidR="00ED0642" w:rsidRDefault="00ED0642" w:rsidP="00ED0642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6B18DF97" w14:textId="77777777" w:rsidR="00ED0642" w:rsidRPr="00BF4400" w:rsidRDefault="00ED0642" w:rsidP="00ED0642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344683B1" w14:textId="77777777" w:rsidR="00ED0642" w:rsidRPr="00BF4400" w:rsidRDefault="00ED0642" w:rsidP="00ED064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2024-03-26T11:03:00Z</dcterms:created>
  <dcterms:modified xsi:type="dcterms:W3CDTF">2024-03-26T11:03:00Z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