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6" w:rsidRPr="005E40B6" w:rsidRDefault="005E40B6" w:rsidP="005E40B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E40B6">
        <w:rPr>
          <w:rFonts w:ascii="Calibri" w:eastAsia="Times New Roman" w:hAnsi="Calibri" w:cs="Calibri"/>
          <w:b/>
          <w:u w:val="single"/>
          <w:lang w:eastAsia="hu-HU"/>
        </w:rPr>
        <w:t xml:space="preserve">47/2024. (II.29.) Kgy. </w:t>
      </w:r>
      <w:proofErr w:type="gramStart"/>
      <w:r w:rsidRPr="005E40B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E40B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 xml:space="preserve">Szombathely Megyei Jogú Város Közgyűlése a polgármester 101/2020. (XI. 25.) </w:t>
      </w:r>
      <w:proofErr w:type="spellStart"/>
      <w:r w:rsidRPr="005E40B6">
        <w:rPr>
          <w:rFonts w:ascii="Calibri" w:eastAsia="Times New Roman" w:hAnsi="Calibri" w:cs="Calibri"/>
          <w:lang w:eastAsia="hu-HU"/>
        </w:rPr>
        <w:t>Pm</w:t>
      </w:r>
      <w:proofErr w:type="spellEnd"/>
      <w:r w:rsidRPr="005E40B6">
        <w:rPr>
          <w:rFonts w:ascii="Calibri" w:eastAsia="Times New Roman" w:hAnsi="Calibri" w:cs="Calibri"/>
          <w:lang w:eastAsia="hu-HU"/>
        </w:rPr>
        <w:t xml:space="preserve">. számú határozatát a Szombathelyi Egyesített Bölcsődei Intézmény vezetője tekintetében – figyelemmel a pedagógusok új életpályájáról szóló 2023. évi LII. törvényben meghatározott szabályozásra – akként módosítja, hogy az intézményvezető havi bruttó illetményét a Közgyűlés 761.893 Ft-ban állapítja meg, egyúttal a 101/2020. (XI. 25.) </w:t>
      </w:r>
      <w:proofErr w:type="spellStart"/>
      <w:r w:rsidRPr="005E40B6">
        <w:rPr>
          <w:rFonts w:ascii="Calibri" w:eastAsia="Times New Roman" w:hAnsi="Calibri" w:cs="Calibri"/>
          <w:lang w:eastAsia="hu-HU"/>
        </w:rPr>
        <w:t>Pm</w:t>
      </w:r>
      <w:proofErr w:type="spellEnd"/>
      <w:r w:rsidRPr="005E40B6">
        <w:rPr>
          <w:rFonts w:ascii="Calibri" w:eastAsia="Times New Roman" w:hAnsi="Calibri" w:cs="Calibri"/>
          <w:lang w:eastAsia="hu-HU"/>
        </w:rPr>
        <w:t>. számú határozat 2. pontját a Közgyűlés hatályon kívül helyezi.</w:t>
      </w: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E40B6">
        <w:rPr>
          <w:rFonts w:ascii="Calibri" w:eastAsia="Times New Roman" w:hAnsi="Calibri" w:cs="Calibri"/>
          <w:bCs/>
          <w:lang w:eastAsia="hu-HU"/>
        </w:rPr>
        <w:t xml:space="preserve"> </w:t>
      </w:r>
      <w:r w:rsidRPr="005E40B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E40B6" w:rsidRPr="005E40B6" w:rsidRDefault="005E40B6" w:rsidP="005E40B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E40B6" w:rsidRPr="005E40B6" w:rsidRDefault="005E40B6" w:rsidP="005E40B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5E40B6" w:rsidRPr="005E40B6" w:rsidRDefault="005E40B6" w:rsidP="005E40B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E40B6" w:rsidRPr="005E40B6" w:rsidRDefault="005E40B6" w:rsidP="005E40B6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ab/>
        <w:t>(</w:t>
      </w:r>
      <w:r w:rsidRPr="005E40B6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 xml:space="preserve">            </w:t>
      </w:r>
      <w:r w:rsidRPr="005E40B6">
        <w:rPr>
          <w:rFonts w:ascii="Calibri" w:eastAsia="Times New Roman" w:hAnsi="Calibri" w:cs="Calibri"/>
          <w:lang w:eastAsia="hu-HU"/>
        </w:rPr>
        <w:tab/>
      </w:r>
      <w:r w:rsidRPr="005E40B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lang w:eastAsia="hu-HU"/>
        </w:rPr>
        <w:tab/>
      </w:r>
      <w:r w:rsidRPr="005E40B6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5E40B6" w:rsidRPr="005E40B6" w:rsidRDefault="005E40B6" w:rsidP="005E40B6">
      <w:pPr>
        <w:jc w:val="both"/>
        <w:rPr>
          <w:rFonts w:ascii="Calibri" w:eastAsia="Times New Roman" w:hAnsi="Calibri" w:cs="Calibri"/>
          <w:lang w:eastAsia="hu-HU"/>
        </w:rPr>
      </w:pPr>
    </w:p>
    <w:p w:rsidR="005E40B6" w:rsidRPr="005E40B6" w:rsidRDefault="005E40B6" w:rsidP="005E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5E40B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E40B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531DB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5E40B6"/>
    <w:rsid w:val="006B386D"/>
    <w:rsid w:val="007F2244"/>
    <w:rsid w:val="00817F4F"/>
    <w:rsid w:val="00846E5F"/>
    <w:rsid w:val="00860575"/>
    <w:rsid w:val="0088222A"/>
    <w:rsid w:val="009D377A"/>
    <w:rsid w:val="00AC6AA5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2024-03-01T08:35:00Z</dcterms:created>
  <dcterms:modified xsi:type="dcterms:W3CDTF">2024-03-01T08:35:00Z</dcterms:modified>
</cp:coreProperties>
</file>