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A6934" w14:textId="77777777" w:rsidR="005A7409" w:rsidRPr="00AB1CBE" w:rsidRDefault="005A7409" w:rsidP="005A7409">
      <w:pPr>
        <w:outlineLvl w:val="1"/>
        <w:rPr>
          <w:rFonts w:ascii="Calibri" w:hAnsi="Calibri" w:cs="Calibri"/>
          <w:bCs/>
          <w:szCs w:val="22"/>
        </w:rPr>
      </w:pPr>
    </w:p>
    <w:p w14:paraId="0A52A3F8" w14:textId="77777777" w:rsidR="005A7409" w:rsidRPr="00AB1CBE" w:rsidRDefault="005A7409" w:rsidP="005A740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35/2024. (II.26.) GJB számú határozat</w:t>
      </w:r>
    </w:p>
    <w:p w14:paraId="1F691DCA" w14:textId="77777777" w:rsidR="005A7409" w:rsidRPr="00AB1CBE" w:rsidRDefault="005A7409" w:rsidP="005A7409">
      <w:pPr>
        <w:outlineLvl w:val="1"/>
        <w:rPr>
          <w:rFonts w:ascii="Calibri" w:hAnsi="Calibri" w:cs="Calibri"/>
          <w:bCs/>
          <w:szCs w:val="22"/>
        </w:rPr>
      </w:pPr>
    </w:p>
    <w:p w14:paraId="1EA886CE" w14:textId="77777777" w:rsidR="005A7409" w:rsidRPr="00AB1CBE" w:rsidRDefault="005A7409" w:rsidP="005A74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az önkormányzat saját bevételeinek és az adósságot keletkeztető ügyleteiből eredő fizetési kötelezettségeinek a 2024. évi költségvetési évre és az azt követő három évre várható összegének megállapításáról szóló I. határozati javaslatot az előterjesztésben foglaltak szerint javasolja a Közgyűlésnek elfogadásra.</w:t>
      </w:r>
    </w:p>
    <w:p w14:paraId="42485E0F" w14:textId="77777777" w:rsidR="005A7409" w:rsidRPr="00AB1CBE" w:rsidRDefault="005A7409" w:rsidP="005A7409">
      <w:pPr>
        <w:jc w:val="both"/>
        <w:rPr>
          <w:rFonts w:asciiTheme="minorHAnsi" w:hAnsiTheme="minorHAnsi" w:cstheme="minorHAnsi"/>
          <w:bCs/>
          <w:szCs w:val="22"/>
        </w:rPr>
      </w:pPr>
    </w:p>
    <w:p w14:paraId="6D4D3B64" w14:textId="77777777" w:rsidR="005A7409" w:rsidRPr="00AB1CBE" w:rsidRDefault="005A7409" w:rsidP="005A74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6EC5248" w14:textId="77777777" w:rsidR="005A7409" w:rsidRPr="00AB1CBE" w:rsidRDefault="005A7409" w:rsidP="005A74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1D5DCF" w14:textId="77777777" w:rsidR="005A7409" w:rsidRPr="00AB1CBE" w:rsidRDefault="005A7409" w:rsidP="005A7409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="Calibri" w:hAnsi="Calibri" w:cs="Calibri"/>
          <w:bCs/>
          <w:szCs w:val="22"/>
        </w:rPr>
        <w:tab/>
      </w:r>
      <w:r w:rsidRPr="00AB1CBE">
        <w:rPr>
          <w:rFonts w:ascii="Calibri" w:hAnsi="Calibri" w:cs="Calibri"/>
          <w:bCs/>
          <w:szCs w:val="22"/>
        </w:rPr>
        <w:tab/>
        <w:t>Stéger Gábor, a Közgazdasági és Adó Osztály vezetője/</w:t>
      </w:r>
    </w:p>
    <w:p w14:paraId="48A4BD3E" w14:textId="77777777" w:rsidR="005A7409" w:rsidRPr="00AB1CBE" w:rsidRDefault="005A7409" w:rsidP="005A7409">
      <w:pPr>
        <w:jc w:val="both"/>
        <w:rPr>
          <w:rFonts w:asciiTheme="minorHAnsi" w:hAnsiTheme="minorHAnsi" w:cstheme="minorHAnsi"/>
          <w:bCs/>
          <w:szCs w:val="22"/>
        </w:rPr>
      </w:pPr>
    </w:p>
    <w:p w14:paraId="72FCD4DA" w14:textId="77777777" w:rsidR="005A7409" w:rsidRPr="00AB1CBE" w:rsidRDefault="005A7409" w:rsidP="005A7409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04107CBF" w14:textId="77777777" w:rsidR="00E46A00" w:rsidRDefault="00E46A00"/>
    <w:sectPr w:rsidR="00E46A00" w:rsidSect="005A74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09"/>
    <w:rsid w:val="005A740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7727"/>
  <w15:chartTrackingRefBased/>
  <w15:docId w15:val="{0F0C52D4-9776-4385-82B5-F03A70A3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740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C3B6DC-0B6E-443F-A112-CB690879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95F05-3AF0-4EDA-A18D-6F4AE4270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A5052-99E7-4A16-86E9-2AA2D04D4E73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661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