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CA4D" w14:textId="77777777" w:rsidR="005D584A" w:rsidRDefault="005D584A" w:rsidP="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Szombathely Megyei Jogú Város Önkormányzata Közgyűlésének</w:t>
      </w:r>
    </w:p>
    <w:p w14:paraId="2A4761FB" w14:textId="1D63648A" w:rsidR="009837A4" w:rsidRPr="005D584A" w:rsidRDefault="005D584A" w:rsidP="005D584A">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5D584A">
        <w:rPr>
          <w:rFonts w:asciiTheme="minorHAnsi" w:hAnsiTheme="minorHAnsi" w:cstheme="minorHAnsi"/>
          <w:b/>
          <w:bCs/>
          <w:sz w:val="22"/>
          <w:szCs w:val="22"/>
        </w:rPr>
        <w:t>.../</w:t>
      </w:r>
      <w:r>
        <w:rPr>
          <w:rFonts w:asciiTheme="minorHAnsi" w:hAnsiTheme="minorHAnsi" w:cstheme="minorHAnsi"/>
          <w:b/>
          <w:bCs/>
          <w:sz w:val="22"/>
          <w:szCs w:val="22"/>
        </w:rPr>
        <w:t>2024.</w:t>
      </w:r>
      <w:r w:rsidRPr="005D584A">
        <w:rPr>
          <w:rFonts w:asciiTheme="minorHAnsi" w:hAnsiTheme="minorHAnsi" w:cstheme="minorHAnsi"/>
          <w:b/>
          <w:bCs/>
          <w:sz w:val="22"/>
          <w:szCs w:val="22"/>
        </w:rPr>
        <w:t xml:space="preserve">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sidRPr="005D584A">
        <w:rPr>
          <w:rFonts w:asciiTheme="minorHAnsi" w:hAnsiTheme="minorHAnsi" w:cstheme="minorHAnsi"/>
          <w:b/>
          <w:bCs/>
          <w:sz w:val="22"/>
          <w:szCs w:val="22"/>
        </w:rPr>
        <w:t>) önkormányzati rendelete</w:t>
      </w:r>
    </w:p>
    <w:p w14:paraId="0F86A890" w14:textId="77777777" w:rsidR="009837A4" w:rsidRPr="005D584A" w:rsidRDefault="005D584A" w:rsidP="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az önkormányzat 2024. évi költségvetéséről</w:t>
      </w:r>
    </w:p>
    <w:p w14:paraId="3BFD4FA4" w14:textId="77777777" w:rsidR="009837A4" w:rsidRPr="005D584A" w:rsidRDefault="005D584A">
      <w:pPr>
        <w:pStyle w:val="Szvegtrzs"/>
        <w:spacing w:before="22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Szombathely Megyei Jogú Város Önkormányzatának Közgyűlése az Alaptörvény 32. cikk (2) bekezdésében meghatározott eredeti jogalkotói hatáskörében, az Alaptörvény 32. cikk (1) bekezdés f) pontjában meghatározott feladatkörében eljárva a következőket rendeli el:</w:t>
      </w:r>
    </w:p>
    <w:p w14:paraId="7FE50A4F"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 §</w:t>
      </w:r>
    </w:p>
    <w:p w14:paraId="10C980B3"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E rendelet hatálya a Közgyűlésre és annak szerveire, az önkormányzat költségvetési szerveire terjed ki.</w:t>
      </w:r>
    </w:p>
    <w:p w14:paraId="1D5AFA38"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 Fejezet</w:t>
      </w:r>
    </w:p>
    <w:p w14:paraId="463DE9BF"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Az önkormányzat bevételei és kiadásai </w:t>
      </w:r>
    </w:p>
    <w:p w14:paraId="503D0F17"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2. §</w:t>
      </w:r>
    </w:p>
    <w:p w14:paraId="5178C2DE"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Közgyűlés az Önkormányzat 2024. évi költségvetésének bevételi főösszegét 26.950.850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kiadási főösszegét 30.998.915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állapítja meg.</w:t>
      </w:r>
    </w:p>
    <w:p w14:paraId="20D88C8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(2) A működési bevételek és kiadások egyenlegét – 2.837.567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 finanszírozási célú kiadásokat (pénzügyi lízing tőke része) - 120.750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az ezeket finanszírozó előző évek működési maradványát + 2.928.050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határozza meg. Az így számított működési egyenleg -30.267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2E92D9C7"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(3) A felhalmozási célú bevételek és kiadások egyenlege – 1.210.498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az ezt finanszírozó előző évek felhalmozási maradványát + 1.240.765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határozza meg. Az így számított felhalmozási egyenleg +30.267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52B96183"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(4) Az egyéb finanszírozási célú bevételeket (2024. évi költségvetési támogatási előleg) + 257.267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2CDEBD9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(5) Az egyéb finanszírozási célú kiadásokat (2024. évi költségvetési támogatási előleg) – 257.267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781C7CB5"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(6) A külső finanszírozási célú bevételeket 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77E91BB2"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3. §</w:t>
      </w:r>
    </w:p>
    <w:p w14:paraId="44D863E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költségvetés kiemelt előirányzatait az 1. melléklet, az összevont </w:t>
      </w:r>
      <w:proofErr w:type="spellStart"/>
      <w:r w:rsidRPr="005D584A">
        <w:rPr>
          <w:rFonts w:asciiTheme="minorHAnsi" w:hAnsiTheme="minorHAnsi" w:cstheme="minorHAnsi"/>
          <w:sz w:val="22"/>
          <w:szCs w:val="22"/>
        </w:rPr>
        <w:t>mérlegadatokat</w:t>
      </w:r>
      <w:proofErr w:type="spellEnd"/>
      <w:r w:rsidRPr="005D584A">
        <w:rPr>
          <w:rFonts w:asciiTheme="minorHAnsi" w:hAnsiTheme="minorHAnsi" w:cstheme="minorHAnsi"/>
          <w:sz w:val="22"/>
          <w:szCs w:val="22"/>
        </w:rPr>
        <w:t xml:space="preserve"> a 2. melléklet tartalmazza.</w:t>
      </w:r>
    </w:p>
    <w:p w14:paraId="3C7CEEC8"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2. § (1) bekezdésében meghatározott bevételi főösszeg forrásait és azok összegét a 3., 5. és 17. melléklet tartalmazza.</w:t>
      </w:r>
    </w:p>
    <w:p w14:paraId="1FE1370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szervek bevételeit a 4. melléklet tartalmazza.</w:t>
      </w:r>
    </w:p>
    <w:p w14:paraId="1E093FF2"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4. §</w:t>
      </w:r>
    </w:p>
    <w:p w14:paraId="63E6DB10"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Közgyűlés a gazdálkodás biztonsága érdekében szükséges folyószámla hitelkeret összegét 2024. évben 800.000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2A6EDED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folyószámlahitellel összefüggő szerződések, kötelezettségvállalások aláírására a polgármester jogosult.</w:t>
      </w:r>
    </w:p>
    <w:p w14:paraId="7A679267"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 xml:space="preserve">(3) A Közgyűlés kötelezettséget vállal arra, hogy a folyószámlahitel visszafizetése </w:t>
      </w:r>
      <w:proofErr w:type="spellStart"/>
      <w:r w:rsidRPr="005D584A">
        <w:rPr>
          <w:rFonts w:asciiTheme="minorHAnsi" w:hAnsiTheme="minorHAnsi" w:cstheme="minorHAnsi"/>
          <w:sz w:val="22"/>
          <w:szCs w:val="22"/>
        </w:rPr>
        <w:t>elsődlegességet</w:t>
      </w:r>
      <w:proofErr w:type="spellEnd"/>
      <w:r w:rsidRPr="005D584A">
        <w:rPr>
          <w:rFonts w:asciiTheme="minorHAnsi" w:hAnsiTheme="minorHAnsi" w:cstheme="minorHAnsi"/>
          <w:sz w:val="22"/>
          <w:szCs w:val="22"/>
        </w:rPr>
        <w:t xml:space="preserve"> élvez a kiadásai között.</w:t>
      </w:r>
    </w:p>
    <w:p w14:paraId="7268716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5. §</w:t>
      </w:r>
    </w:p>
    <w:p w14:paraId="2BD268BC"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A Közgyűlés a költségvetési szervek kiadásait 14.544.010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 a 6. mellékletben részletezettek szerint.</w:t>
      </w:r>
    </w:p>
    <w:p w14:paraId="4208CDB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6. §</w:t>
      </w:r>
    </w:p>
    <w:p w14:paraId="66C7A729"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A Közgyűlés a költségvetési szervek 2024. évi induló létszámkeretét 1.454 főben határozza meg a 7. mellékletben részletezettek szerint.</w:t>
      </w:r>
    </w:p>
    <w:p w14:paraId="1464C203"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7. §</w:t>
      </w:r>
    </w:p>
    <w:p w14:paraId="7873B910"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Az ágazatonként meghatározott célok elkülönített kiadásainak részletezését a 8-16. melléklet tartalmazza.</w:t>
      </w:r>
    </w:p>
    <w:p w14:paraId="0A8FA21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8. §</w:t>
      </w:r>
    </w:p>
    <w:p w14:paraId="4348EE0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A Közgyűlés az önkormányzati felhalmozási kiadások előirányzatát 1.358.061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 amelynek részletes adatait a 18. melléklet tartalmazza.</w:t>
      </w:r>
    </w:p>
    <w:p w14:paraId="5FE0F89B"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9. §</w:t>
      </w:r>
    </w:p>
    <w:p w14:paraId="54AE3FA1"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Közgyűlés céltartalékokat képez az alábbiak szerint:</w:t>
      </w:r>
    </w:p>
    <w:p w14:paraId="3BCBDDDA"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Általános tartalék 4.597 </w:t>
      </w:r>
      <w:proofErr w:type="spellStart"/>
      <w:r w:rsidRPr="005D584A">
        <w:rPr>
          <w:rFonts w:asciiTheme="minorHAnsi" w:hAnsiTheme="minorHAnsi" w:cstheme="minorHAnsi"/>
          <w:sz w:val="22"/>
          <w:szCs w:val="22"/>
        </w:rPr>
        <w:t>eFt</w:t>
      </w:r>
      <w:proofErr w:type="spellEnd"/>
    </w:p>
    <w:p w14:paraId="170AD04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 xml:space="preserve">Közművelődési kiegészítő támogatás - Berzsenyi D. Könyvtár 142.713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14E53D11"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 xml:space="preserve">Tartalék - kulturális bérpótlék év közbeni biztosítására 311.954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39645FA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 xml:space="preserve">Tartalék – közétkeztetési rezsi kulcs emeléséből adódó többletkiadások fedezetére 116.000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5AB6AFDC"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Az (1) bekezdésben meghatározott céltartalékok felett a polgármester jogosult dönteni.</w:t>
      </w:r>
    </w:p>
    <w:p w14:paraId="2D85601E"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II. Fejezet</w:t>
      </w:r>
    </w:p>
    <w:p w14:paraId="70C52687"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A gazdálkodás rendje </w:t>
      </w:r>
    </w:p>
    <w:p w14:paraId="5663FBC2"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 Előirányzat-módosítás</w:t>
      </w:r>
    </w:p>
    <w:p w14:paraId="54BE1EE9"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10. §</w:t>
      </w:r>
    </w:p>
    <w:p w14:paraId="1CB4BDE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e rendeletben megjelenő bevételek és kiadások módosításáról, a kiadási előirányzatok közötti átcsoportosításról a (2) – (4) bekezdésben foglalt kivétellel a Közgyűlés dönt.</w:t>
      </w:r>
    </w:p>
    <w:p w14:paraId="5CE5A73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714D15E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354E948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(4) A polgármester a költségvetésért felelős alpolgármester javaslata alapján, két költségvetési rendeletmódosítás közötti időben, saját hatáskörében az önkormányzat költségvetésében ugyanazon célra, </w:t>
      </w:r>
      <w:r w:rsidRPr="005D584A">
        <w:rPr>
          <w:rFonts w:asciiTheme="minorHAnsi" w:hAnsiTheme="minorHAnsi" w:cstheme="minorHAnsi"/>
          <w:sz w:val="22"/>
          <w:szCs w:val="22"/>
        </w:rPr>
        <w:lastRenderedPageBreak/>
        <w:t xml:space="preserve">legfeljebb egy alkalommal 99.000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 egyedi értékhatárig előirányzat átcsoportosítást hajthat végre úgy, hogy az működési hiányt nem eredményezhet, és a csökkentéssel érintett feladat ellátását nem veszélyeztetheti.</w:t>
      </w:r>
    </w:p>
    <w:p w14:paraId="22A54694"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A (4) bekezdésben végrehajtott előirányzat átcsoportosításokról a polgármester a költségvetési rendelet soron következő módosításakor beszámol.</w:t>
      </w:r>
    </w:p>
    <w:p w14:paraId="39916A7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2. Az előirányzatok felhasználása</w:t>
      </w:r>
    </w:p>
    <w:p w14:paraId="1AAD4041"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11. §</w:t>
      </w:r>
    </w:p>
    <w:p w14:paraId="0386B0DE"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613BF16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Előirányzat és forrás biztosítása nélkül kötelezettség nem vállalható.</w:t>
      </w:r>
    </w:p>
    <w:p w14:paraId="53A9554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2238B871"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Az alábbi kiadási előirányzatok felhasználásáról kizárólag a Közgyűlés jogosult dönteni:</w:t>
      </w:r>
    </w:p>
    <w:p w14:paraId="75089D5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Arany János ösztöndíj</w:t>
      </w:r>
    </w:p>
    <w:p w14:paraId="668A0294"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ELTE támogatás</w:t>
      </w:r>
    </w:p>
    <w:p w14:paraId="5791C31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Az alábbi kiadási előirányzatok felhasználásáról kizárólag a Városstratégiai, Idegenforgalmi és Sport Bizottság jogosult dönteni:</w:t>
      </w:r>
    </w:p>
    <w:p w14:paraId="0DF6A66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Óvoda intézményi karbantartás</w:t>
      </w:r>
    </w:p>
    <w:p w14:paraId="4A5A4463"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Egyéb sportcélú kiadások, támogatások</w:t>
      </w:r>
    </w:p>
    <w:p w14:paraId="03FE5FB0"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Évközi tervezések, útfelújítás tervezések, egyéb tervezések</w:t>
      </w:r>
    </w:p>
    <w:p w14:paraId="50A98E9F"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(6) Az alábbi kiadási előirányzatok felhasználásáról kizárólag a Kulturális, Oktatási és Civil Bizottság jogosult dönteni:</w:t>
      </w:r>
    </w:p>
    <w:p w14:paraId="13D13FA2"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Köznevelési feladatellátásra átadott vagyon ellenőrzése</w:t>
      </w:r>
    </w:p>
    <w:p w14:paraId="5D82E378"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Versenyek, rendezvények, támogatások</w:t>
      </w:r>
    </w:p>
    <w:p w14:paraId="015D669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Országos tanulmányi versenyen eredményesen szereplő diákok és felkészítő tanárok jutalmazása</w:t>
      </w:r>
    </w:p>
    <w:p w14:paraId="773542DC"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 xml:space="preserve">Önkormányzati </w:t>
      </w:r>
      <w:proofErr w:type="spellStart"/>
      <w:r w:rsidRPr="005D584A">
        <w:rPr>
          <w:rFonts w:asciiTheme="minorHAnsi" w:hAnsiTheme="minorHAnsi" w:cstheme="minorHAnsi"/>
          <w:sz w:val="22"/>
          <w:szCs w:val="22"/>
        </w:rPr>
        <w:t>napközis</w:t>
      </w:r>
      <w:proofErr w:type="spellEnd"/>
      <w:r w:rsidRPr="005D584A">
        <w:rPr>
          <w:rFonts w:asciiTheme="minorHAnsi" w:hAnsiTheme="minorHAnsi" w:cstheme="minorHAnsi"/>
          <w:sz w:val="22"/>
          <w:szCs w:val="22"/>
        </w:rPr>
        <w:t xml:space="preserve"> tábor megszervezése</w:t>
      </w:r>
    </w:p>
    <w:p w14:paraId="5152DED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e)</w:t>
      </w:r>
      <w:r w:rsidRPr="005D584A">
        <w:rPr>
          <w:rFonts w:asciiTheme="minorHAnsi" w:hAnsiTheme="minorHAnsi" w:cstheme="minorHAnsi"/>
          <w:sz w:val="22"/>
          <w:szCs w:val="22"/>
        </w:rPr>
        <w:tab/>
        <w:t>Városi pedagógus nap, tanévnyitó ünnepség</w:t>
      </w:r>
    </w:p>
    <w:p w14:paraId="733CD412"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f)</w:t>
      </w:r>
      <w:r w:rsidRPr="005D584A">
        <w:rPr>
          <w:rFonts w:asciiTheme="minorHAnsi" w:hAnsiTheme="minorHAnsi" w:cstheme="minorHAnsi"/>
          <w:sz w:val="22"/>
          <w:szCs w:val="22"/>
        </w:rPr>
        <w:tab/>
        <w:t>Kalandváros és Műjégpálya óvodai és iskolai csoportok által történő szervezett látogatásának támogatása</w:t>
      </w:r>
    </w:p>
    <w:p w14:paraId="7FA0A62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g)</w:t>
      </w:r>
      <w:r w:rsidRPr="005D584A">
        <w:rPr>
          <w:rFonts w:asciiTheme="minorHAnsi" w:hAnsiTheme="minorHAnsi" w:cstheme="minorHAnsi"/>
          <w:sz w:val="22"/>
          <w:szCs w:val="22"/>
        </w:rPr>
        <w:tab/>
        <w:t>SZMJV Diákönkormányzat - rendezvények, programok, támogatások, egyéb kiadások</w:t>
      </w:r>
    </w:p>
    <w:p w14:paraId="5114256D"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h)</w:t>
      </w:r>
      <w:r w:rsidRPr="005D584A">
        <w:rPr>
          <w:rFonts w:asciiTheme="minorHAnsi" w:hAnsiTheme="minorHAnsi" w:cstheme="minorHAnsi"/>
          <w:sz w:val="22"/>
          <w:szCs w:val="22"/>
        </w:rPr>
        <w:tab/>
        <w:t>Kulturális és civil alap</w:t>
      </w:r>
    </w:p>
    <w:p w14:paraId="0CECA40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i)</w:t>
      </w:r>
      <w:r w:rsidRPr="005D584A">
        <w:rPr>
          <w:rFonts w:asciiTheme="minorHAnsi" w:hAnsiTheme="minorHAnsi" w:cstheme="minorHAnsi"/>
          <w:sz w:val="22"/>
          <w:szCs w:val="22"/>
        </w:rPr>
        <w:tab/>
        <w:t>Városi nagyrendezvények</w:t>
      </w:r>
    </w:p>
    <w:p w14:paraId="6D5DB42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(7) Az alábbi kiadási előirányzatok felhasználásáról kizárólag a Szociális és Lakás Bizottság jogosult dönteni:</w:t>
      </w:r>
    </w:p>
    <w:p w14:paraId="3ED50F90"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r>
      <w:proofErr w:type="spellStart"/>
      <w:r w:rsidRPr="005D584A">
        <w:rPr>
          <w:rFonts w:asciiTheme="minorHAnsi" w:hAnsiTheme="minorHAnsi" w:cstheme="minorHAnsi"/>
          <w:sz w:val="22"/>
          <w:szCs w:val="22"/>
        </w:rPr>
        <w:t>Bursa</w:t>
      </w:r>
      <w:proofErr w:type="spellEnd"/>
      <w:r w:rsidRPr="005D584A">
        <w:rPr>
          <w:rFonts w:asciiTheme="minorHAnsi" w:hAnsiTheme="minorHAnsi" w:cstheme="minorHAnsi"/>
          <w:sz w:val="22"/>
          <w:szCs w:val="22"/>
        </w:rPr>
        <w:t xml:space="preserve"> Hungarica felsőoktatási ösztöndíj</w:t>
      </w:r>
    </w:p>
    <w:p w14:paraId="0EC2E79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Közösségi Bérlakás Rendszer</w:t>
      </w:r>
    </w:p>
    <w:p w14:paraId="663B9BB7"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Érzékenyítő programok - Helyi esélyegyenlőségi program keretében</w:t>
      </w:r>
    </w:p>
    <w:p w14:paraId="17D1B218"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Szent Márton Esélyegyenlőségi Támogatási Program</w:t>
      </w:r>
    </w:p>
    <w:p w14:paraId="62AA0ACC"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(8) Következő évre áthúzódó kötelezettségvállalásra - a jogszabályokon alapuló, illetve az önkormányzat folyamatos működéséhez feltétlenül szükséges feladatokon kívül - kizárólag a Közgyűlés döntése után kerülhet sor.</w:t>
      </w:r>
    </w:p>
    <w:p w14:paraId="306D2A4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(9) Az e rendeletben meghatározott kiemelt előirányzatok megtartásáért az önkormányzat esetében a polgármester, a költségvetési szerv kiadási előirányzatának megtartásáért a költségvetési szerv vezetője tartozik felelősséggel.</w:t>
      </w:r>
    </w:p>
    <w:p w14:paraId="66FB841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5A06425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3D2BC5FE"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5357789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5DB91D9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21B18F5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(15) Az 1. §-ban megjelölt szervek saját hatáskörben engedélyezhetik</w:t>
      </w:r>
    </w:p>
    <w:p w14:paraId="33D5A44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a </w:t>
      </w:r>
      <w:proofErr w:type="gramStart"/>
      <w:r w:rsidRPr="005D584A">
        <w:rPr>
          <w:rFonts w:asciiTheme="minorHAnsi" w:hAnsiTheme="minorHAnsi" w:cstheme="minorHAnsi"/>
          <w:sz w:val="22"/>
          <w:szCs w:val="22"/>
        </w:rPr>
        <w:t>100.000,-</w:t>
      </w:r>
      <w:proofErr w:type="gramEnd"/>
      <w:r w:rsidRPr="005D584A">
        <w:rPr>
          <w:rFonts w:asciiTheme="minorHAnsi" w:hAnsiTheme="minorHAnsi" w:cstheme="minorHAnsi"/>
          <w:sz w:val="22"/>
          <w:szCs w:val="22"/>
        </w:rPr>
        <w:t xml:space="preserve"> Ft értékhatárt el nem érő kisösszegű követelés,</w:t>
      </w:r>
    </w:p>
    <w:p w14:paraId="260BE1D4"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a felszámolási eljárás alá vont gazdálkodóval szemben fennálló meg nem térült követelés,</w:t>
      </w:r>
    </w:p>
    <w:p w14:paraId="30E3580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egyéb, a végrehajtási eljárások során behajthatatlanná vált, valamint bírósági döntéssel alátámasztott behajthatatlan követelés törlését.</w:t>
      </w:r>
    </w:p>
    <w:p w14:paraId="1CB518D4"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(16) Minden más egyedi esetben</w:t>
      </w:r>
    </w:p>
    <w:p w14:paraId="6A86426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az egyenként 500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-ot el nem érő követelés csak a Gazdasági és Jogi Bizottság hozzájárulásával törölhető,</w:t>
      </w:r>
    </w:p>
    <w:p w14:paraId="3BAE248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 xml:space="preserve">az egyenként 500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-ot elérő követelés csak a Közgyűlés egyedi engedélye alapján törölhető.</w:t>
      </w:r>
    </w:p>
    <w:p w14:paraId="22BC81A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(17) Az adóügyi dolgozók érdekeltségéről szóló önkormányzati rendeletben meghatározott érdekeltségi juttatásra fordítható összeg 24.000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a juttatás e rendelet kihirdetésétől számított 10 napon belül kifizethető.</w:t>
      </w:r>
    </w:p>
    <w:p w14:paraId="34C77E8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(18) Az időskorúak és </w:t>
      </w:r>
      <w:proofErr w:type="spellStart"/>
      <w:r w:rsidRPr="005D584A">
        <w:rPr>
          <w:rFonts w:asciiTheme="minorHAnsi" w:hAnsiTheme="minorHAnsi" w:cstheme="minorHAnsi"/>
          <w:sz w:val="22"/>
          <w:szCs w:val="22"/>
        </w:rPr>
        <w:t>egészségkárosodottak</w:t>
      </w:r>
      <w:proofErr w:type="spellEnd"/>
      <w:r w:rsidRPr="005D584A">
        <w:rPr>
          <w:rFonts w:asciiTheme="minorHAnsi" w:hAnsiTheme="minorHAnsi" w:cstheme="minorHAnsi"/>
          <w:sz w:val="22"/>
          <w:szCs w:val="22"/>
        </w:rPr>
        <w:t xml:space="preserve"> támogatása 2024. évben jogosultanként </w:t>
      </w:r>
      <w:proofErr w:type="gramStart"/>
      <w:r w:rsidRPr="005D584A">
        <w:rPr>
          <w:rFonts w:asciiTheme="minorHAnsi" w:hAnsiTheme="minorHAnsi" w:cstheme="minorHAnsi"/>
          <w:sz w:val="22"/>
          <w:szCs w:val="22"/>
        </w:rPr>
        <w:t>10.000,-</w:t>
      </w:r>
      <w:proofErr w:type="gramEnd"/>
      <w:r w:rsidRPr="005D584A">
        <w:rPr>
          <w:rFonts w:asciiTheme="minorHAnsi" w:hAnsiTheme="minorHAnsi" w:cstheme="minorHAnsi"/>
          <w:sz w:val="22"/>
          <w:szCs w:val="22"/>
        </w:rPr>
        <w:t xml:space="preserve"> Ft.</w:t>
      </w:r>
    </w:p>
    <w:p w14:paraId="644DA8C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3. Pénzellátás</w:t>
      </w:r>
    </w:p>
    <w:p w14:paraId="124FD84C"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12. §</w:t>
      </w:r>
    </w:p>
    <w:p w14:paraId="1C298978"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önkormányzat kiadásait a 19. mellékletben meghatározott előirányzat felhasználási terv szerint teljesíti.</w:t>
      </w:r>
    </w:p>
    <w:p w14:paraId="008B7A5E"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pénzellátási ütemtervhez képest pénzellátási többletet, indokolással ellátott írásbeli igénylés alapján az önkormányzat fizetőképességének szem előtt tartásával kell biztosítani.</w:t>
      </w:r>
    </w:p>
    <w:p w14:paraId="01E21D5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szerveket havonta a tényleges szükségletnek megfelelő, de legfeljebb az e rendeletben meghatározott önkormányzati támogatási összeg 1/12-ed része illeti meg.</w:t>
      </w:r>
    </w:p>
    <w:p w14:paraId="5A8CB7D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6374EC7B"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Szerződések, megállapodások megkötésénél, továbbá megrendeléseknél ki kell kötni, hogy fizetési határidő más jogszabály által nem szabályozott esetekben a teljesítéstől számított 30 napnál kevesebb nem lehet.</w:t>
      </w:r>
    </w:p>
    <w:p w14:paraId="17A11F93"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1B450BAB"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4. Költségvetési szervekre vonatkozó további szabályok</w:t>
      </w:r>
    </w:p>
    <w:p w14:paraId="42DD5A9D"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13. §</w:t>
      </w:r>
    </w:p>
    <w:p w14:paraId="40EA1B6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702A9E4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2E07E64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001A512B"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5. Reprezentációra, külföldi kiküldetésre vonatkozó rendelkezések</w:t>
      </w:r>
    </w:p>
    <w:p w14:paraId="0CA89F83"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14. §</w:t>
      </w:r>
    </w:p>
    <w:p w14:paraId="3BFC239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52EED04F"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2EBA3D8B"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kiküldöttet a kiküldetés időtartama alatt az országhatár átlépésétől kezdve napidíj címén bruttó 30 EUR illeti meg, mely kizárólag a külföldi tartózkodással felmerülő étkezési költségek fedezetére szolgál. Amennyiben a meghívó fél teljes ellátást biztosít, akkor a napidíj nem fizethető ki.</w:t>
      </w:r>
    </w:p>
    <w:p w14:paraId="39D7C4F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21173614" w14:textId="77777777" w:rsidR="009540E2" w:rsidRDefault="009540E2">
      <w:pPr>
        <w:pStyle w:val="Szvegtrzs"/>
        <w:spacing w:before="280" w:after="0" w:line="240" w:lineRule="auto"/>
        <w:jc w:val="center"/>
        <w:rPr>
          <w:rFonts w:asciiTheme="minorHAnsi" w:hAnsiTheme="minorHAnsi" w:cstheme="minorHAnsi"/>
          <w:b/>
          <w:bCs/>
          <w:sz w:val="22"/>
          <w:szCs w:val="22"/>
        </w:rPr>
      </w:pPr>
    </w:p>
    <w:p w14:paraId="3114C482" w14:textId="77777777" w:rsidR="009540E2" w:rsidRDefault="009540E2">
      <w:pPr>
        <w:pStyle w:val="Szvegtrzs"/>
        <w:spacing w:before="280" w:after="0" w:line="240" w:lineRule="auto"/>
        <w:jc w:val="center"/>
        <w:rPr>
          <w:rFonts w:asciiTheme="minorHAnsi" w:hAnsiTheme="minorHAnsi" w:cstheme="minorHAnsi"/>
          <w:b/>
          <w:bCs/>
          <w:sz w:val="22"/>
          <w:szCs w:val="22"/>
        </w:rPr>
      </w:pPr>
    </w:p>
    <w:p w14:paraId="25AC8F9A" w14:textId="12827024"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lastRenderedPageBreak/>
        <w:t>6. Költségvetési maradvány elszámolásának rendje</w:t>
      </w:r>
    </w:p>
    <w:p w14:paraId="680DC62F"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15. §</w:t>
      </w:r>
    </w:p>
    <w:p w14:paraId="7378DE99"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költségvetési szervek az előző évi költségvetési maradványuk terhére, annak jóváhagyásáig - amely a 2023.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2024. évi költségvetés nem irányozta elő.</w:t>
      </w:r>
    </w:p>
    <w:p w14:paraId="7F00988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Közgyűlés által jóváhagyott költségvetési maradványt a költségvetési szervek kötelesek a költségvetési maradvány jóváhagyásakor meghatározott célnak megfelelően felhasználni.</w:t>
      </w:r>
    </w:p>
    <w:p w14:paraId="54E76FB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7. Egyéb rendelkezések és szabályok</w:t>
      </w:r>
    </w:p>
    <w:p w14:paraId="4DB4C99E"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16. §</w:t>
      </w:r>
    </w:p>
    <w:p w14:paraId="2BA796F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Az önkormányzat által alapított közalapítványok és alapítványok (Savaria Történelmi Karnevál Közhasznú Közalapítvány, Szombathelyért Közalapítvány, „Szombathely Szent Márton városa” </w:t>
      </w:r>
      <w:proofErr w:type="spellStart"/>
      <w:r w:rsidRPr="005D584A">
        <w:rPr>
          <w:rFonts w:asciiTheme="minorHAnsi" w:hAnsiTheme="minorHAnsi" w:cstheme="minorHAnsi"/>
          <w:sz w:val="22"/>
          <w:szCs w:val="22"/>
        </w:rPr>
        <w:t>Gyebrovszki</w:t>
      </w:r>
      <w:proofErr w:type="spellEnd"/>
      <w:r w:rsidRPr="005D584A">
        <w:rPr>
          <w:rFonts w:asciiTheme="minorHAnsi" w:hAnsiTheme="minorHAnsi" w:cstheme="minorHAnsi"/>
          <w:sz w:val="22"/>
          <w:szCs w:val="22"/>
        </w:rPr>
        <w:t xml:space="preserve"> János Alapítvány, és a </w:t>
      </w:r>
      <w:proofErr w:type="spellStart"/>
      <w:r w:rsidRPr="005D584A">
        <w:rPr>
          <w:rFonts w:asciiTheme="minorHAnsi" w:hAnsiTheme="minorHAnsi" w:cstheme="minorHAnsi"/>
          <w:sz w:val="22"/>
          <w:szCs w:val="22"/>
        </w:rPr>
        <w:t>Kutyamenhely</w:t>
      </w:r>
      <w:proofErr w:type="spellEnd"/>
      <w:r w:rsidRPr="005D584A">
        <w:rPr>
          <w:rFonts w:asciiTheme="minorHAnsi" w:hAnsiTheme="minorHAnsi" w:cstheme="minorHAnsi"/>
          <w:sz w:val="22"/>
          <w:szCs w:val="22"/>
        </w:rPr>
        <w:t xml:space="preserve">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5756DF5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3AC2D82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5FEA6DC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 2024. évi közvetett támogatásokról szóló tájékoztatót a 20. melléklet, az Európai Uniós támogatással megvalósuló projektek bevételi és kiadási előirányzatait a 21. melléklet tartalmazza.</w:t>
      </w:r>
    </w:p>
    <w:p w14:paraId="3F82A544"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III. Fejezet</w:t>
      </w:r>
    </w:p>
    <w:p w14:paraId="120AF51A"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Záró rendelkezések </w:t>
      </w:r>
    </w:p>
    <w:p w14:paraId="4969A04A"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17. §</w:t>
      </w:r>
    </w:p>
    <w:p w14:paraId="74371969" w14:textId="77777777" w:rsidR="009837A4"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Ez a rendelet a kihirdetését követő napon lép hatályba, és az önkormányzat 2023. évi gazdálkodásának végrehajtásáról szóló önkormányzati rendelet (zárszámadás) hatályba lépésének napján hatályát veszti.</w:t>
      </w:r>
    </w:p>
    <w:p w14:paraId="20FBC86D" w14:textId="77777777" w:rsidR="005D584A" w:rsidRDefault="005D584A">
      <w:pPr>
        <w:pStyle w:val="Szvegtrzs"/>
        <w:spacing w:after="0" w:line="240" w:lineRule="auto"/>
        <w:jc w:val="both"/>
        <w:rPr>
          <w:rFonts w:asciiTheme="minorHAnsi" w:hAnsiTheme="minorHAnsi" w:cstheme="minorHAnsi"/>
          <w:sz w:val="22"/>
          <w:szCs w:val="22"/>
        </w:rPr>
      </w:pPr>
    </w:p>
    <w:p w14:paraId="4480951E" w14:textId="77777777" w:rsidR="005D584A" w:rsidRDefault="005D584A">
      <w:pPr>
        <w:pStyle w:val="Szvegtrzs"/>
        <w:spacing w:after="0" w:line="240" w:lineRule="auto"/>
        <w:jc w:val="both"/>
        <w:rPr>
          <w:rFonts w:asciiTheme="minorHAnsi" w:hAnsiTheme="minorHAnsi" w:cstheme="minorHAnsi"/>
          <w:sz w:val="22"/>
          <w:szCs w:val="22"/>
        </w:rPr>
      </w:pPr>
    </w:p>
    <w:p w14:paraId="65315CB1" w14:textId="77777777" w:rsidR="005D584A" w:rsidRDefault="005D584A">
      <w:pPr>
        <w:pStyle w:val="Szvegtrzs"/>
        <w:spacing w:after="0" w:line="240" w:lineRule="auto"/>
        <w:jc w:val="both"/>
        <w:rPr>
          <w:rFonts w:asciiTheme="minorHAnsi" w:hAnsiTheme="minorHAnsi" w:cstheme="minorHAnsi"/>
          <w:sz w:val="22"/>
          <w:szCs w:val="22"/>
        </w:rPr>
      </w:pPr>
    </w:p>
    <w:p w14:paraId="5DCB1F05" w14:textId="77777777" w:rsidR="005D584A" w:rsidRPr="005D584A" w:rsidRDefault="005D584A">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9837A4" w:rsidRPr="005D584A" w14:paraId="13662E7B" w14:textId="77777777">
        <w:tc>
          <w:tcPr>
            <w:tcW w:w="4818" w:type="dxa"/>
          </w:tcPr>
          <w:p w14:paraId="00D6CBE2" w14:textId="77777777" w:rsidR="009837A4" w:rsidRPr="005D584A" w:rsidRDefault="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 Dr. Nemény András :/</w:t>
            </w:r>
            <w:r w:rsidRPr="005D584A">
              <w:rPr>
                <w:rFonts w:asciiTheme="minorHAnsi" w:hAnsiTheme="minorHAnsi" w:cstheme="minorHAnsi"/>
                <w:b/>
                <w:bCs/>
                <w:sz w:val="22"/>
                <w:szCs w:val="22"/>
              </w:rPr>
              <w:br/>
              <w:t>polgármester</w:t>
            </w:r>
          </w:p>
        </w:tc>
        <w:tc>
          <w:tcPr>
            <w:tcW w:w="4820" w:type="dxa"/>
          </w:tcPr>
          <w:p w14:paraId="4B583E98" w14:textId="77777777" w:rsidR="009837A4" w:rsidRPr="005D584A" w:rsidRDefault="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 Dr. Károlyi Ákos :/</w:t>
            </w:r>
            <w:r w:rsidRPr="005D584A">
              <w:rPr>
                <w:rFonts w:asciiTheme="minorHAnsi" w:hAnsiTheme="minorHAnsi" w:cstheme="minorHAnsi"/>
                <w:b/>
                <w:bCs/>
                <w:sz w:val="22"/>
                <w:szCs w:val="22"/>
              </w:rPr>
              <w:br/>
              <w:t>jegyző</w:t>
            </w:r>
          </w:p>
        </w:tc>
      </w:tr>
    </w:tbl>
    <w:p w14:paraId="5211DAC8" w14:textId="77777777" w:rsidR="009837A4" w:rsidRDefault="009837A4">
      <w:pPr>
        <w:rPr>
          <w:rFonts w:asciiTheme="minorHAnsi" w:hAnsiTheme="minorHAnsi" w:cstheme="minorHAnsi"/>
          <w:sz w:val="22"/>
          <w:szCs w:val="22"/>
        </w:rPr>
      </w:pPr>
    </w:p>
    <w:p w14:paraId="44C305EE" w14:textId="77777777" w:rsidR="00F9406F" w:rsidRDefault="00F9406F">
      <w:pPr>
        <w:rPr>
          <w:rFonts w:asciiTheme="minorHAnsi" w:hAnsiTheme="minorHAnsi" w:cstheme="minorHAnsi"/>
          <w:sz w:val="22"/>
          <w:szCs w:val="22"/>
        </w:rPr>
      </w:pPr>
    </w:p>
    <w:p w14:paraId="0E088766" w14:textId="77777777" w:rsidR="00F9406F" w:rsidRDefault="00F9406F" w:rsidP="00F9406F">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Szombathely Megyei Jogú Város Önkormányzata Közgyűlésének</w:t>
      </w:r>
    </w:p>
    <w:p w14:paraId="783F08BA" w14:textId="77777777" w:rsidR="00F9406F" w:rsidRDefault="00F9406F" w:rsidP="00F9406F">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....../2024. (…</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önkormányzati rendelete</w:t>
      </w:r>
    </w:p>
    <w:p w14:paraId="253EBC03" w14:textId="77777777" w:rsidR="00F9406F" w:rsidRDefault="00F9406F" w:rsidP="00F9406F">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a Polgármesteri Hivatalban dolgozó köztisztviselők közszolgálati jogviszonyának egyes kérdéseiről szóló 2/2020. (II.5.) önkormányzati rendelet módosításáról</w:t>
      </w:r>
    </w:p>
    <w:p w14:paraId="72BF7D0E" w14:textId="77777777" w:rsidR="00F9406F" w:rsidRDefault="00F9406F" w:rsidP="00F9406F">
      <w:pPr>
        <w:pStyle w:val="Szvegtrzs"/>
        <w:spacing w:before="220" w:after="0" w:line="240" w:lineRule="auto"/>
        <w:jc w:val="both"/>
        <w:rPr>
          <w:rFonts w:asciiTheme="minorHAnsi" w:hAnsiTheme="minorHAnsi" w:cstheme="minorHAnsi"/>
          <w:sz w:val="22"/>
          <w:szCs w:val="22"/>
        </w:rPr>
      </w:pPr>
      <w:r>
        <w:rPr>
          <w:rFonts w:asciiTheme="minorHAnsi" w:hAnsiTheme="minorHAnsi" w:cstheme="minorHAnsi"/>
          <w:sz w:val="22"/>
          <w:szCs w:val="22"/>
        </w:rPr>
        <w:t>Szombathely Megyei Jogú Város Önkormányzatának Közgyűlése a közszolgálati tisztviselőkről szóló 2011. évi CXCIX. törvény 237. §-</w:t>
      </w:r>
      <w:proofErr w:type="spellStart"/>
      <w:r>
        <w:rPr>
          <w:rFonts w:asciiTheme="minorHAnsi" w:hAnsiTheme="minorHAnsi" w:cstheme="minorHAnsi"/>
          <w:sz w:val="22"/>
          <w:szCs w:val="22"/>
        </w:rPr>
        <w:t>ában</w:t>
      </w:r>
      <w:proofErr w:type="spellEnd"/>
      <w:r>
        <w:rPr>
          <w:rFonts w:asciiTheme="minorHAnsi" w:hAnsiTheme="minorHAnsi" w:cstheme="minorHAnsi"/>
          <w:sz w:val="22"/>
          <w:szCs w:val="22"/>
        </w:rPr>
        <w:t xml:space="preserve"> kapott felhatalmazás alapján, a 2. § tekintetében a Magyarország 2024. évi központi költségvetéséről szóló 2023. évi LV. törvény 75. § (3) bekezdés b) pontjában, a 3. § tekintetében a közszolgálati tisztviselőkről szóló 2011. évi CXCIX. törvény 234. § (3)-(4) bekezdésében kapott felhatalmazás alapján, az Alaptörvény 32. cikk (1) bekezdés a) pontjában meghatározott feladatkörében eljárva, a közszolgálati tisztviselőkről szóló 2011. évi CXCIX. törvény 200. § (2) bekezdésében biztosított véleményezési jogkörében eljáró Magyar Köztisztviselők, Közalkalmazottak és Közszolgálati Dolgozók Szakszervezete véleményének kikérésével a következőket rendeli el:</w:t>
      </w:r>
    </w:p>
    <w:p w14:paraId="372D643E"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1. §</w:t>
      </w:r>
    </w:p>
    <w:p w14:paraId="636B7690"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A Polgármesteri Hivatalban dolgozó köztisztviselők közszolgálati jogviszonyának egyes kérdéseiről szóló 2/2020. (II. 5.) önkormányzati rendelet (a továbbiakban: Rendelet) bevezető része helyébe a következő rendelkezés lép:</w:t>
      </w:r>
    </w:p>
    <w:p w14:paraId="2CB05C90" w14:textId="77777777" w:rsidR="00F9406F" w:rsidRDefault="00F9406F" w:rsidP="00F9406F">
      <w:pPr>
        <w:pStyle w:val="Szvegtrzs"/>
        <w:spacing w:before="240" w:after="240" w:line="240" w:lineRule="auto"/>
        <w:jc w:val="both"/>
        <w:rPr>
          <w:rFonts w:asciiTheme="minorHAnsi" w:hAnsiTheme="minorHAnsi" w:cstheme="minorHAnsi"/>
          <w:sz w:val="22"/>
          <w:szCs w:val="22"/>
        </w:rPr>
      </w:pPr>
      <w:r>
        <w:rPr>
          <w:rFonts w:asciiTheme="minorHAnsi" w:hAnsiTheme="minorHAnsi" w:cstheme="minorHAnsi"/>
          <w:sz w:val="22"/>
          <w:szCs w:val="22"/>
        </w:rPr>
        <w:t>„Szombathely Megyei Jogú Város Önkormányzatának Közgyűlése</w:t>
      </w:r>
      <w:r>
        <w:rPr>
          <w:rFonts w:asciiTheme="minorHAnsi" w:hAnsiTheme="minorHAnsi" w:cstheme="minorHAnsi"/>
          <w:sz w:val="22"/>
          <w:szCs w:val="22"/>
        </w:rPr>
        <w:tab/>
        <w:t xml:space="preserve"> </w:t>
      </w:r>
      <w:r>
        <w:rPr>
          <w:rFonts w:asciiTheme="minorHAnsi" w:hAnsiTheme="minorHAnsi" w:cstheme="minorHAnsi"/>
          <w:sz w:val="22"/>
          <w:szCs w:val="22"/>
        </w:rPr>
        <w:br/>
        <w:t>a közszolgálati tisztviselőkről szóló 2011. évi CXCIX. törvény 237. §-</w:t>
      </w:r>
      <w:proofErr w:type="spellStart"/>
      <w:r>
        <w:rPr>
          <w:rFonts w:asciiTheme="minorHAnsi" w:hAnsiTheme="minorHAnsi" w:cstheme="minorHAnsi"/>
          <w:sz w:val="22"/>
          <w:szCs w:val="22"/>
        </w:rPr>
        <w:t>ában</w:t>
      </w:r>
      <w:proofErr w:type="spellEnd"/>
      <w:r>
        <w:rPr>
          <w:rFonts w:asciiTheme="minorHAnsi" w:hAnsiTheme="minorHAnsi" w:cstheme="minorHAnsi"/>
          <w:sz w:val="22"/>
          <w:szCs w:val="22"/>
        </w:rPr>
        <w:t xml:space="preserve">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 4. § tekintetében a Magyarország 2024. évi központi költségvetéséről szóló 2023. évi LV. törvény 75. § (3) bekezdés b) pontjában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az 5. § tekintetében a közszolgálati tisztviselőkről szóló 2011. évi CXCIX. törvény 234. § (3)-(4) bekezdésében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 6. § tekintetében a közszolgálati tisztviselőkről szóló 2011. évi CXCIX. törvény 236. § (4) bekezdésében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 7. § tekintetében a közszolgálati tisztviselőkről szóló 2011. évi CXCIX. törvény 232/A. § (1) bekezdésében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 8. § tekintetében a közszolgálati tisztviselőkről szóló 2011. évi CXCIX. törvény 226. § (7) bekezdésében kapott felhatalmazás alapján,</w:t>
      </w:r>
      <w:r>
        <w:rPr>
          <w:rFonts w:asciiTheme="minorHAnsi" w:hAnsiTheme="minorHAnsi" w:cstheme="minorHAnsi"/>
          <w:sz w:val="22"/>
          <w:szCs w:val="22"/>
        </w:rPr>
        <w:tab/>
        <w:t xml:space="preserve"> </w:t>
      </w:r>
      <w:r>
        <w:rPr>
          <w:rFonts w:asciiTheme="minorHAnsi" w:hAnsiTheme="minorHAnsi" w:cstheme="minorHAnsi"/>
          <w:sz w:val="22"/>
          <w:szCs w:val="22"/>
        </w:rPr>
        <w:br/>
        <w:t>az Alaptörvény 32. cikk (1) bekezdés a) pontjában meghatározott feladatkörében eljárva, a közszolgálati tisztviselőkről szóló 2011. évi CXCIX. törvény 200. § (2) bekezdésében biztosított véleményezési jogkörében eljáró Magyar Köztisztviselők, Közalkalmazottak és Közszolgálati Dolgozók Szakszervezete véleményének kikérésével a következőket rendeli el:”</w:t>
      </w:r>
    </w:p>
    <w:p w14:paraId="04DBC985"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2. §</w:t>
      </w:r>
    </w:p>
    <w:p w14:paraId="7ECEB88C"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A Rendelet 4. §-a helyébe a következő rendelkezés lép:</w:t>
      </w:r>
    </w:p>
    <w:p w14:paraId="5B8ACCC4"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„4. §</w:t>
      </w:r>
    </w:p>
    <w:p w14:paraId="76DE696B"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A közszolgálati dolgozók illetményalapja 2024. évre</w:t>
      </w:r>
    </w:p>
    <w:p w14:paraId="4D7F357E" w14:textId="77777777" w:rsidR="00F9406F" w:rsidRDefault="00F9406F" w:rsidP="00F9406F">
      <w:pPr>
        <w:pStyle w:val="Szvegtrzs"/>
        <w:spacing w:after="0" w:line="240" w:lineRule="auto"/>
        <w:ind w:left="580" w:hanging="560"/>
        <w:jc w:val="both"/>
        <w:rPr>
          <w:rFonts w:asciiTheme="minorHAnsi" w:hAnsiTheme="minorHAnsi" w:cstheme="minorHAnsi"/>
          <w:sz w:val="22"/>
          <w:szCs w:val="22"/>
        </w:rPr>
      </w:pPr>
      <w:r>
        <w:rPr>
          <w:rFonts w:asciiTheme="minorHAnsi" w:hAnsiTheme="minorHAnsi" w:cstheme="minorHAnsi"/>
          <w:i/>
          <w:iCs/>
          <w:sz w:val="22"/>
          <w:szCs w:val="22"/>
        </w:rPr>
        <w:t>a)</w:t>
      </w:r>
      <w:r>
        <w:rPr>
          <w:rFonts w:asciiTheme="minorHAnsi" w:hAnsiTheme="minorHAnsi" w:cstheme="minorHAnsi"/>
          <w:sz w:val="22"/>
          <w:szCs w:val="22"/>
        </w:rPr>
        <w:tab/>
        <w:t xml:space="preserve">január 1. napjától február 29. napjáig </w:t>
      </w:r>
      <w:proofErr w:type="gramStart"/>
      <w:r>
        <w:rPr>
          <w:rFonts w:asciiTheme="minorHAnsi" w:hAnsiTheme="minorHAnsi" w:cstheme="minorHAnsi"/>
          <w:sz w:val="22"/>
          <w:szCs w:val="22"/>
        </w:rPr>
        <w:t>47.000,-</w:t>
      </w:r>
      <w:proofErr w:type="gramEnd"/>
      <w:r>
        <w:rPr>
          <w:rFonts w:asciiTheme="minorHAnsi" w:hAnsiTheme="minorHAnsi" w:cstheme="minorHAnsi"/>
          <w:sz w:val="22"/>
          <w:szCs w:val="22"/>
        </w:rPr>
        <w:t xml:space="preserve"> Ft,</w:t>
      </w:r>
    </w:p>
    <w:p w14:paraId="2433F3EC" w14:textId="77777777" w:rsidR="00F9406F" w:rsidRDefault="00F9406F" w:rsidP="00F9406F">
      <w:pPr>
        <w:pStyle w:val="Szvegtrzs"/>
        <w:spacing w:after="240" w:line="240" w:lineRule="auto"/>
        <w:ind w:left="580" w:hanging="560"/>
        <w:jc w:val="both"/>
        <w:rPr>
          <w:rFonts w:asciiTheme="minorHAnsi" w:hAnsiTheme="minorHAnsi" w:cstheme="minorHAnsi"/>
          <w:sz w:val="22"/>
          <w:szCs w:val="22"/>
        </w:rPr>
      </w:pPr>
      <w:r>
        <w:rPr>
          <w:rFonts w:asciiTheme="minorHAnsi" w:hAnsiTheme="minorHAnsi" w:cstheme="minorHAnsi"/>
          <w:i/>
          <w:iCs/>
          <w:sz w:val="22"/>
          <w:szCs w:val="22"/>
        </w:rPr>
        <w:t>b)</w:t>
      </w:r>
      <w:r>
        <w:rPr>
          <w:rFonts w:asciiTheme="minorHAnsi" w:hAnsiTheme="minorHAnsi" w:cstheme="minorHAnsi"/>
          <w:sz w:val="22"/>
          <w:szCs w:val="22"/>
        </w:rPr>
        <w:tab/>
        <w:t xml:space="preserve">március 1. napjától december 31. napjáig </w:t>
      </w:r>
      <w:proofErr w:type="gramStart"/>
      <w:r>
        <w:rPr>
          <w:rFonts w:asciiTheme="minorHAnsi" w:hAnsiTheme="minorHAnsi" w:cstheme="minorHAnsi"/>
          <w:sz w:val="22"/>
          <w:szCs w:val="22"/>
        </w:rPr>
        <w:t>54.050,-</w:t>
      </w:r>
      <w:proofErr w:type="gramEnd"/>
      <w:r>
        <w:rPr>
          <w:rFonts w:asciiTheme="minorHAnsi" w:hAnsiTheme="minorHAnsi" w:cstheme="minorHAnsi"/>
          <w:sz w:val="22"/>
          <w:szCs w:val="22"/>
        </w:rPr>
        <w:t xml:space="preserve"> Ft.”</w:t>
      </w:r>
    </w:p>
    <w:p w14:paraId="782173B5"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3. §</w:t>
      </w:r>
    </w:p>
    <w:p w14:paraId="3660D1D4"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A Rendelet 5. § nyitó szövegrészében a „2023.” szövegrész helyébe a „2024.” szöveg lép.</w:t>
      </w:r>
    </w:p>
    <w:p w14:paraId="4C7CEFA7" w14:textId="77777777" w:rsidR="00DB03F8" w:rsidRDefault="00DB03F8" w:rsidP="00F9406F">
      <w:pPr>
        <w:pStyle w:val="Szvegtrzs"/>
        <w:spacing w:before="240" w:after="240" w:line="240" w:lineRule="auto"/>
        <w:jc w:val="center"/>
        <w:rPr>
          <w:rFonts w:asciiTheme="minorHAnsi" w:hAnsiTheme="minorHAnsi" w:cstheme="minorHAnsi"/>
          <w:b/>
          <w:bCs/>
          <w:sz w:val="22"/>
          <w:szCs w:val="22"/>
        </w:rPr>
      </w:pPr>
    </w:p>
    <w:p w14:paraId="3B5E7B39" w14:textId="6FA29D64"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4. §</w:t>
      </w:r>
    </w:p>
    <w:p w14:paraId="32A9FEF1"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Hatályát veszti a Rendelet 9. § (2) bekezdése.</w:t>
      </w:r>
    </w:p>
    <w:p w14:paraId="3EA63719"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5. §</w:t>
      </w:r>
    </w:p>
    <w:p w14:paraId="099C81DE"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Ez a rendelet a kihirdetését követő napon lép hatályba.</w:t>
      </w:r>
    </w:p>
    <w:p w14:paraId="542ED593" w14:textId="77777777" w:rsidR="00F9406F" w:rsidRDefault="00F9406F" w:rsidP="00F9406F">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6. §</w:t>
      </w:r>
    </w:p>
    <w:p w14:paraId="23C43D86" w14:textId="77777777" w:rsidR="00F9406F" w:rsidRDefault="00F9406F" w:rsidP="00F9406F">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E rendelet rendelkezéseit 2024. január 1. napjától kell alkalmazni.</w:t>
      </w:r>
    </w:p>
    <w:p w14:paraId="3A78FE58" w14:textId="77777777" w:rsidR="00F9406F" w:rsidRDefault="00F9406F" w:rsidP="00F9406F">
      <w:pPr>
        <w:pStyle w:val="Szvegtrzs"/>
        <w:spacing w:after="0" w:line="240" w:lineRule="auto"/>
        <w:jc w:val="both"/>
        <w:rPr>
          <w:rFonts w:asciiTheme="minorHAnsi" w:hAnsiTheme="minorHAnsi" w:cstheme="minorHAnsi"/>
          <w:sz w:val="22"/>
          <w:szCs w:val="22"/>
        </w:rPr>
      </w:pPr>
    </w:p>
    <w:p w14:paraId="4EC24671" w14:textId="77777777" w:rsidR="00F9406F" w:rsidRDefault="00F9406F" w:rsidP="00F9406F">
      <w:pPr>
        <w:pStyle w:val="Szvegtrzs"/>
        <w:spacing w:after="0" w:line="240" w:lineRule="auto"/>
        <w:jc w:val="both"/>
        <w:rPr>
          <w:rFonts w:asciiTheme="minorHAnsi" w:hAnsiTheme="minorHAnsi" w:cstheme="minorHAnsi"/>
          <w:sz w:val="22"/>
          <w:szCs w:val="22"/>
        </w:rPr>
      </w:pPr>
    </w:p>
    <w:p w14:paraId="0E153A0A" w14:textId="77777777" w:rsidR="00F9406F" w:rsidRDefault="00F9406F" w:rsidP="00F9406F">
      <w:pPr>
        <w:pStyle w:val="Szvegtrzs"/>
        <w:spacing w:after="0" w:line="240" w:lineRule="auto"/>
        <w:jc w:val="both"/>
        <w:rPr>
          <w:rFonts w:asciiTheme="minorHAnsi" w:hAnsiTheme="minorHAnsi" w:cstheme="minorHAnsi"/>
          <w:sz w:val="22"/>
          <w:szCs w:val="22"/>
        </w:rPr>
      </w:pPr>
    </w:p>
    <w:p w14:paraId="5F605511" w14:textId="77777777" w:rsidR="00F9406F" w:rsidRDefault="00F9406F" w:rsidP="00F9406F">
      <w:pPr>
        <w:pStyle w:val="Szvegtrzs"/>
        <w:spacing w:after="0" w:line="240" w:lineRule="auto"/>
        <w:jc w:val="both"/>
        <w:rPr>
          <w:rFonts w:asciiTheme="minorHAnsi" w:hAnsiTheme="minorHAnsi" w:cstheme="minorHAnsi"/>
          <w:sz w:val="22"/>
          <w:szCs w:val="22"/>
        </w:rPr>
      </w:pPr>
    </w:p>
    <w:p w14:paraId="0DAC594D" w14:textId="77777777" w:rsidR="00F9406F" w:rsidRDefault="00F9406F" w:rsidP="00F9406F">
      <w:pPr>
        <w:pStyle w:val="Szvegtrzs"/>
        <w:spacing w:after="0" w:line="240" w:lineRule="auto"/>
        <w:jc w:val="both"/>
        <w:rPr>
          <w:rFonts w:asciiTheme="minorHAnsi" w:hAnsiTheme="minorHAnsi" w:cstheme="minorHAnsi"/>
          <w:sz w:val="22"/>
          <w:szCs w:val="22"/>
        </w:rPr>
      </w:pPr>
    </w:p>
    <w:tbl>
      <w:tblPr>
        <w:tblW w:w="9645" w:type="dxa"/>
        <w:tblLayout w:type="fixed"/>
        <w:tblCellMar>
          <w:top w:w="28" w:type="dxa"/>
          <w:left w:w="28" w:type="dxa"/>
          <w:bottom w:w="28" w:type="dxa"/>
          <w:right w:w="28" w:type="dxa"/>
        </w:tblCellMar>
        <w:tblLook w:val="04A0" w:firstRow="1" w:lastRow="0" w:firstColumn="1" w:lastColumn="0" w:noHBand="0" w:noVBand="1"/>
      </w:tblPr>
      <w:tblGrid>
        <w:gridCol w:w="4821"/>
        <w:gridCol w:w="4824"/>
      </w:tblGrid>
      <w:tr w:rsidR="00F9406F" w14:paraId="0F0E3028" w14:textId="77777777" w:rsidTr="00F9406F">
        <w:tc>
          <w:tcPr>
            <w:tcW w:w="4818" w:type="dxa"/>
            <w:hideMark/>
          </w:tcPr>
          <w:p w14:paraId="27EA9692" w14:textId="77777777" w:rsidR="00F9406F" w:rsidRDefault="00F9406F">
            <w:pPr>
              <w:pStyle w:val="Szvegtrzs"/>
              <w:spacing w:after="0" w:line="240" w:lineRule="auto"/>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 Dr. Nemény András :/</w:t>
            </w:r>
            <w:r>
              <w:rPr>
                <w:rFonts w:asciiTheme="minorHAnsi" w:hAnsiTheme="minorHAnsi" w:cstheme="minorHAnsi"/>
                <w:b/>
                <w:bCs/>
                <w:sz w:val="22"/>
                <w:szCs w:val="22"/>
                <w:lang w:val="en-US"/>
              </w:rPr>
              <w:br/>
            </w:r>
            <w:proofErr w:type="spellStart"/>
            <w:r>
              <w:rPr>
                <w:rFonts w:asciiTheme="minorHAnsi" w:hAnsiTheme="minorHAnsi" w:cstheme="minorHAnsi"/>
                <w:b/>
                <w:bCs/>
                <w:sz w:val="22"/>
                <w:szCs w:val="22"/>
                <w:lang w:val="en-US"/>
              </w:rPr>
              <w:t>polgármester</w:t>
            </w:r>
            <w:proofErr w:type="spellEnd"/>
          </w:p>
        </w:tc>
        <w:tc>
          <w:tcPr>
            <w:tcW w:w="4820" w:type="dxa"/>
            <w:hideMark/>
          </w:tcPr>
          <w:p w14:paraId="6D9F3055" w14:textId="77777777" w:rsidR="00F9406F" w:rsidRDefault="00F9406F">
            <w:pPr>
              <w:pStyle w:val="Szvegtrzs"/>
              <w:spacing w:after="0" w:line="240" w:lineRule="auto"/>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 Dr. Károlyi Ákos :/</w:t>
            </w:r>
            <w:r>
              <w:rPr>
                <w:rFonts w:asciiTheme="minorHAnsi" w:hAnsiTheme="minorHAnsi" w:cstheme="minorHAnsi"/>
                <w:b/>
                <w:bCs/>
                <w:sz w:val="22"/>
                <w:szCs w:val="22"/>
                <w:lang w:val="en-US"/>
              </w:rPr>
              <w:br/>
            </w:r>
            <w:proofErr w:type="spellStart"/>
            <w:r>
              <w:rPr>
                <w:rFonts w:asciiTheme="minorHAnsi" w:hAnsiTheme="minorHAnsi" w:cstheme="minorHAnsi"/>
                <w:b/>
                <w:bCs/>
                <w:sz w:val="22"/>
                <w:szCs w:val="22"/>
                <w:lang w:val="en-US"/>
              </w:rPr>
              <w:t>jegyző</w:t>
            </w:r>
            <w:proofErr w:type="spellEnd"/>
          </w:p>
        </w:tc>
      </w:tr>
    </w:tbl>
    <w:p w14:paraId="2E5A2B00" w14:textId="77777777" w:rsidR="00F9406F" w:rsidRDefault="00F9406F" w:rsidP="00F9406F">
      <w:pPr>
        <w:rPr>
          <w:rFonts w:asciiTheme="minorHAnsi" w:hAnsiTheme="minorHAnsi" w:cstheme="minorHAnsi"/>
          <w:sz w:val="22"/>
          <w:szCs w:val="22"/>
        </w:rPr>
      </w:pPr>
    </w:p>
    <w:p w14:paraId="5FEE45E3" w14:textId="77777777" w:rsidR="00F9406F" w:rsidRPr="005D584A" w:rsidRDefault="00F9406F">
      <w:pPr>
        <w:rPr>
          <w:rFonts w:asciiTheme="minorHAnsi" w:hAnsiTheme="minorHAnsi" w:cstheme="minorHAnsi"/>
          <w:sz w:val="22"/>
          <w:szCs w:val="22"/>
        </w:rPr>
      </w:pPr>
    </w:p>
    <w:sectPr w:rsidR="00F9406F" w:rsidRPr="005D584A">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B9A7" w14:textId="77777777" w:rsidR="005D584A" w:rsidRDefault="005D584A">
      <w:r>
        <w:separator/>
      </w:r>
    </w:p>
  </w:endnote>
  <w:endnote w:type="continuationSeparator" w:id="0">
    <w:p w14:paraId="0B9AB936" w14:textId="77777777" w:rsidR="005D584A" w:rsidRDefault="005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53A1" w14:textId="77777777" w:rsidR="009837A4" w:rsidRDefault="005D584A">
    <w:pPr>
      <w:pStyle w:val="llb"/>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043E" w14:textId="77777777" w:rsidR="005D584A" w:rsidRDefault="005D584A">
      <w:r>
        <w:separator/>
      </w:r>
    </w:p>
  </w:footnote>
  <w:footnote w:type="continuationSeparator" w:id="0">
    <w:p w14:paraId="287BB916" w14:textId="77777777" w:rsidR="005D584A" w:rsidRDefault="005D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D4AFE"/>
    <w:multiLevelType w:val="multilevel"/>
    <w:tmpl w:val="899469B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23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A4"/>
    <w:rsid w:val="005D584A"/>
    <w:rsid w:val="00866345"/>
    <w:rsid w:val="009540E2"/>
    <w:rsid w:val="009837A4"/>
    <w:rsid w:val="00A13097"/>
    <w:rsid w:val="00DB03F8"/>
    <w:rsid w:val="00F94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AAC3"/>
  <w15:docId w15:val="{63A3FA07-E863-477F-9BE0-8202EC3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F9406F"/>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2353</Words>
  <Characters>16238</Characters>
  <Application>Microsoft Office Word</Application>
  <DocSecurity>0</DocSecurity>
  <Lines>135</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Szakács Eszter</cp:lastModifiedBy>
  <cp:revision>2</cp:revision>
  <dcterms:created xsi:type="dcterms:W3CDTF">2024-02-15T13:48:00Z</dcterms:created>
  <dcterms:modified xsi:type="dcterms:W3CDTF">2024-02-15T13:48:00Z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