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DF1C" w14:textId="77777777" w:rsidR="00860F90" w:rsidRPr="00F14DC1" w:rsidRDefault="0029723A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 xml:space="preserve"> </w:t>
      </w:r>
      <w:r w:rsidR="00232F3E" w:rsidRPr="00F14DC1">
        <w:rPr>
          <w:rFonts w:ascii="Calibri" w:hAnsi="Calibri" w:cs="Calibri"/>
          <w:color w:val="auto"/>
          <w:szCs w:val="24"/>
        </w:rPr>
        <w:t>INDOKOLÁS</w:t>
      </w:r>
    </w:p>
    <w:p w14:paraId="4D1FF888" w14:textId="77777777" w:rsidR="00500B0C" w:rsidRPr="00F14DC1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BF5DCF" w:rsidRPr="00F14DC1">
        <w:rPr>
          <w:rFonts w:ascii="Calibri" w:hAnsi="Calibri" w:cs="Calibri"/>
          <w:b/>
          <w:sz w:val="24"/>
          <w:szCs w:val="24"/>
        </w:rPr>
        <w:t>3</w:t>
      </w:r>
      <w:r w:rsidRPr="00F14DC1">
        <w:rPr>
          <w:rFonts w:ascii="Calibri" w:hAnsi="Calibri" w:cs="Calibri"/>
          <w:b/>
          <w:sz w:val="24"/>
          <w:szCs w:val="24"/>
        </w:rPr>
        <w:t xml:space="preserve">. évi költségvetési rendelet </w:t>
      </w:r>
      <w:r w:rsidR="00E8345E">
        <w:rPr>
          <w:rFonts w:ascii="Calibri" w:hAnsi="Calibri" w:cs="Calibri"/>
          <w:b/>
          <w:sz w:val="24"/>
          <w:szCs w:val="24"/>
        </w:rPr>
        <w:t>I</w:t>
      </w:r>
      <w:r w:rsidRPr="00F14DC1">
        <w:rPr>
          <w:rFonts w:ascii="Calibri" w:hAnsi="Calibri" w:cs="Calibri"/>
          <w:b/>
          <w:sz w:val="24"/>
          <w:szCs w:val="24"/>
        </w:rPr>
        <w:t>I</w:t>
      </w:r>
      <w:r w:rsidR="00FF3814">
        <w:rPr>
          <w:rFonts w:ascii="Calibri" w:hAnsi="Calibri" w:cs="Calibri"/>
          <w:b/>
          <w:sz w:val="24"/>
          <w:szCs w:val="24"/>
        </w:rPr>
        <w:t>I</w:t>
      </w:r>
      <w:r w:rsidRPr="00F14DC1">
        <w:rPr>
          <w:rFonts w:ascii="Calibri" w:hAnsi="Calibri" w:cs="Calibri"/>
          <w:b/>
          <w:sz w:val="24"/>
          <w:szCs w:val="24"/>
        </w:rPr>
        <w:t>. számú módosításhoz</w:t>
      </w:r>
    </w:p>
    <w:p w14:paraId="5E8E5E8F" w14:textId="77777777" w:rsidR="00500B0C" w:rsidRPr="00F14DC1" w:rsidRDefault="00500B0C" w:rsidP="00500B0C">
      <w:pPr>
        <w:rPr>
          <w:rFonts w:ascii="Calibri" w:hAnsi="Calibri" w:cs="Calibri"/>
          <w:sz w:val="22"/>
          <w:szCs w:val="22"/>
        </w:rPr>
      </w:pPr>
    </w:p>
    <w:p w14:paraId="16CE817F" w14:textId="77777777" w:rsidR="00500B0C" w:rsidRPr="00F14DC1" w:rsidRDefault="00FF3814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500B0C" w:rsidRPr="00F14DC1">
        <w:rPr>
          <w:rFonts w:ascii="Calibri" w:hAnsi="Calibri" w:cs="Calibri"/>
          <w:b/>
          <w:bCs/>
          <w:sz w:val="22"/>
          <w:szCs w:val="22"/>
        </w:rPr>
        <w:t>. A költségvetési rendeletben meghatározottak szerint utólagos tudomásul vételt jelentő tételek</w:t>
      </w:r>
    </w:p>
    <w:p w14:paraId="0B4AAE0C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03ABB8" w14:textId="77777777" w:rsidR="00CE16AF" w:rsidRPr="00CE16AF" w:rsidRDefault="00500B0C" w:rsidP="00CE16AF">
      <w:pPr>
        <w:numPr>
          <w:ilvl w:val="0"/>
          <w:numId w:val="11"/>
        </w:numPr>
        <w:ind w:left="709"/>
        <w:jc w:val="both"/>
        <w:rPr>
          <w:rFonts w:ascii="Calibri" w:hAnsi="Calibri" w:cs="Calibri"/>
          <w:b/>
          <w:i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Működési és felhalmozási célú támogatások előirányzatainak módosítása</w:t>
      </w:r>
    </w:p>
    <w:p w14:paraId="66DF95DF" w14:textId="77777777" w:rsidR="006D0693" w:rsidRDefault="006D0693" w:rsidP="006D0693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A8578A9" w14:textId="77777777" w:rsidR="00345B4D" w:rsidRPr="00E912F6" w:rsidRDefault="00CE16AF" w:rsidP="008207B1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E912F6">
        <w:rPr>
          <w:rFonts w:ascii="Calibri" w:hAnsi="Calibri" w:cs="Calibri"/>
          <w:sz w:val="22"/>
          <w:szCs w:val="22"/>
        </w:rPr>
        <w:t xml:space="preserve">A feladatalapú támogatások 2023. </w:t>
      </w:r>
      <w:r w:rsidR="000006C6" w:rsidRPr="00E912F6">
        <w:rPr>
          <w:rFonts w:ascii="Calibri" w:hAnsi="Calibri" w:cs="Calibri"/>
          <w:sz w:val="22"/>
          <w:szCs w:val="22"/>
        </w:rPr>
        <w:t>október</w:t>
      </w:r>
      <w:r w:rsidRPr="00E912F6">
        <w:rPr>
          <w:rFonts w:ascii="Calibri" w:hAnsi="Calibri" w:cs="Calibri"/>
          <w:sz w:val="22"/>
          <w:szCs w:val="22"/>
        </w:rPr>
        <w:t xml:space="preserve"> havi elszámolása alapján </w:t>
      </w:r>
      <w:r w:rsidR="000006C6" w:rsidRPr="00E912F6">
        <w:rPr>
          <w:rFonts w:ascii="Calibri" w:hAnsi="Calibri" w:cs="Calibri"/>
          <w:sz w:val="22"/>
          <w:szCs w:val="22"/>
        </w:rPr>
        <w:t>35.734</w:t>
      </w:r>
      <w:r w:rsidR="00617803" w:rsidRPr="00E912F6">
        <w:rPr>
          <w:rFonts w:ascii="Calibri" w:hAnsi="Calibri" w:cs="Calibri"/>
          <w:sz w:val="22"/>
          <w:szCs w:val="22"/>
        </w:rPr>
        <w:t xml:space="preserve"> eFt többletbevételünk keletkezet</w:t>
      </w:r>
      <w:r w:rsidR="00345B4D" w:rsidRPr="00E912F6">
        <w:rPr>
          <w:rFonts w:ascii="Calibri" w:hAnsi="Calibri" w:cs="Calibri"/>
          <w:sz w:val="22"/>
          <w:szCs w:val="22"/>
        </w:rPr>
        <w:t>t. A növekedés elsődleges indoka, hogy a „Települési önkormányzatok egyes köznevelési feladatainak támogatása</w:t>
      </w:r>
      <w:r w:rsidR="00E912F6" w:rsidRPr="00E912F6">
        <w:rPr>
          <w:rFonts w:ascii="Calibri" w:hAnsi="Calibri" w:cs="Calibri"/>
          <w:sz w:val="22"/>
          <w:szCs w:val="22"/>
        </w:rPr>
        <w:t xml:space="preserve">” és a „Települési önkormányzatok egyes szociális és gyermekjóléti feladatainak támogatás” jogcímekhez kapcsolódó fajlagos összegek a 68/2023. (III.10.) korm.rendelet 2023. október 6-tól hatályos módosítása alapján növekedtek. </w:t>
      </w:r>
      <w:r w:rsidR="00E912F6" w:rsidRPr="00E912F6">
        <w:rPr>
          <w:rFonts w:ascii="Calibri" w:hAnsi="Calibri" w:cs="Calibri"/>
          <w:sz w:val="22"/>
          <w:szCs w:val="22"/>
        </w:rPr>
        <w:tab/>
      </w:r>
      <w:r w:rsidR="00E912F6" w:rsidRPr="00E912F6">
        <w:rPr>
          <w:rFonts w:ascii="Calibri" w:hAnsi="Calibri" w:cs="Calibri"/>
          <w:sz w:val="22"/>
          <w:szCs w:val="22"/>
        </w:rPr>
        <w:tab/>
      </w:r>
      <w:r w:rsidR="00E912F6" w:rsidRPr="00E912F6">
        <w:rPr>
          <w:rFonts w:ascii="Calibri" w:hAnsi="Calibri" w:cs="Calibri"/>
          <w:sz w:val="22"/>
          <w:szCs w:val="22"/>
        </w:rPr>
        <w:tab/>
      </w:r>
    </w:p>
    <w:p w14:paraId="5D72AD68" w14:textId="77777777" w:rsidR="00345B4D" w:rsidRPr="00536E2C" w:rsidRDefault="00536E2C" w:rsidP="00345B4D">
      <w:pPr>
        <w:ind w:left="720"/>
        <w:jc w:val="both"/>
        <w:rPr>
          <w:rFonts w:ascii="Calibri" w:hAnsi="Calibri" w:cs="Calibri"/>
          <w:bCs/>
          <w:iCs/>
          <w:sz w:val="22"/>
          <w:szCs w:val="22"/>
        </w:rPr>
      </w:pPr>
      <w:r w:rsidRPr="00536E2C">
        <w:rPr>
          <w:rFonts w:ascii="Calibri" w:hAnsi="Calibri" w:cs="Calibri"/>
          <w:bCs/>
          <w:iCs/>
          <w:sz w:val="22"/>
          <w:szCs w:val="22"/>
        </w:rPr>
        <w:t>Továbbá a szociális feladatok támogatásának növekedése a szociális étkeztetést igénybe vevők</w:t>
      </w:r>
      <w:r>
        <w:rPr>
          <w:rFonts w:ascii="Calibri" w:hAnsi="Calibri" w:cs="Calibri"/>
          <w:bCs/>
          <w:iCs/>
          <w:sz w:val="22"/>
          <w:szCs w:val="22"/>
        </w:rPr>
        <w:t xml:space="preserve"> és az időskorúak nappali ellátása esetében az ellátottak</w:t>
      </w:r>
      <w:r w:rsidRPr="00536E2C">
        <w:rPr>
          <w:rFonts w:ascii="Calibri" w:hAnsi="Calibri" w:cs="Calibri"/>
          <w:bCs/>
          <w:iCs/>
          <w:sz w:val="22"/>
          <w:szCs w:val="22"/>
        </w:rPr>
        <w:t xml:space="preserve"> számának növekedéséből ered</w:t>
      </w:r>
      <w:r>
        <w:rPr>
          <w:rFonts w:ascii="Calibri" w:hAnsi="Calibri" w:cs="Calibri"/>
          <w:bCs/>
          <w:iCs/>
          <w:sz w:val="22"/>
          <w:szCs w:val="22"/>
        </w:rPr>
        <w:t xml:space="preserve">, mivel </w:t>
      </w:r>
      <w:r w:rsidRPr="00536E2C">
        <w:rPr>
          <w:rFonts w:ascii="Calibri" w:hAnsi="Calibri" w:cs="Calibri"/>
          <w:bCs/>
          <w:iCs/>
          <w:sz w:val="22"/>
          <w:szCs w:val="22"/>
        </w:rPr>
        <w:t>az ellátást biztosító szakmai egységek hétvégi és ünnepnapokon</w:t>
      </w:r>
      <w:r>
        <w:rPr>
          <w:rFonts w:ascii="Calibri" w:hAnsi="Calibri" w:cs="Calibri"/>
          <w:bCs/>
          <w:iCs/>
          <w:sz w:val="22"/>
          <w:szCs w:val="22"/>
        </w:rPr>
        <w:t xml:space="preserve"> újra nyitva tartanak. </w:t>
      </w:r>
      <w:r w:rsidRPr="00536E2C">
        <w:rPr>
          <w:rFonts w:ascii="Calibri" w:hAnsi="Calibri" w:cs="Calibri"/>
          <w:bCs/>
          <w:iCs/>
          <w:sz w:val="22"/>
          <w:szCs w:val="22"/>
        </w:rPr>
        <w:t xml:space="preserve">  </w:t>
      </w:r>
    </w:p>
    <w:p w14:paraId="13734999" w14:textId="77777777" w:rsidR="00345B4D" w:rsidRPr="00536E2C" w:rsidRDefault="00536E2C" w:rsidP="00345B4D">
      <w:pPr>
        <w:ind w:left="720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 „</w:t>
      </w:r>
      <w:r w:rsidRPr="00536E2C">
        <w:rPr>
          <w:rFonts w:ascii="Calibri" w:hAnsi="Calibri" w:cs="Calibri"/>
          <w:bCs/>
          <w:iCs/>
          <w:sz w:val="22"/>
          <w:szCs w:val="22"/>
        </w:rPr>
        <w:t>Települési önkormányzatok gyermekétkeztetési feladatainak támogatása</w:t>
      </w:r>
      <w:r>
        <w:rPr>
          <w:rFonts w:ascii="Calibri" w:hAnsi="Calibri" w:cs="Calibri"/>
          <w:bCs/>
          <w:iCs/>
          <w:sz w:val="22"/>
          <w:szCs w:val="22"/>
        </w:rPr>
        <w:t xml:space="preserve">” jogcímen történt támogatás csökkenés indoka, hogy az év közbeni elszámolások már folyamatosan az étkeztetést ténylegesen igénybe vevők létszámát mutatják, tehát a tervezetthez képest módosítani szükséges az igénybevevői létszámokat. </w:t>
      </w:r>
    </w:p>
    <w:p w14:paraId="48DB2BC1" w14:textId="77777777" w:rsidR="00345B4D" w:rsidRPr="00345B4D" w:rsidRDefault="00345B4D" w:rsidP="00345B4D">
      <w:pPr>
        <w:ind w:left="720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1B2A554B" w14:textId="77777777" w:rsidR="00500B0C" w:rsidRPr="001933AF" w:rsidRDefault="00500B0C" w:rsidP="00130E1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D0693">
        <w:rPr>
          <w:rFonts w:ascii="Calibri" w:hAnsi="Calibri" w:cs="Calibri"/>
          <w:sz w:val="22"/>
          <w:szCs w:val="22"/>
        </w:rPr>
        <w:t>A 257/2000. (XII. 26.) Korm. rend. alapján a szociális, gyermekjóléti és gyermekvédelmi</w:t>
      </w:r>
      <w:r w:rsidRPr="001933AF">
        <w:rPr>
          <w:rFonts w:ascii="Calibri" w:hAnsi="Calibri" w:cs="Calibri"/>
          <w:sz w:val="22"/>
          <w:szCs w:val="22"/>
        </w:rPr>
        <w:t xml:space="preserve"> ágazati pótlékra jogosult közalkalmazottakat szociális ágazati összevont pótlék illeti meg. Központi bevételként beemelésre került </w:t>
      </w:r>
      <w:r w:rsidR="00D22C18">
        <w:rPr>
          <w:rFonts w:ascii="Calibri" w:hAnsi="Calibri" w:cs="Calibri"/>
          <w:sz w:val="22"/>
          <w:szCs w:val="22"/>
        </w:rPr>
        <w:t>59.63</w:t>
      </w:r>
      <w:r w:rsidR="00D22C18" w:rsidRPr="00D22C18">
        <w:rPr>
          <w:rFonts w:ascii="Calibri" w:hAnsi="Calibri" w:cs="Calibri"/>
          <w:sz w:val="22"/>
          <w:szCs w:val="22"/>
        </w:rPr>
        <w:t>3</w:t>
      </w:r>
      <w:r w:rsidRPr="00D22C18">
        <w:rPr>
          <w:rFonts w:ascii="Calibri" w:hAnsi="Calibri" w:cs="Calibri"/>
          <w:sz w:val="22"/>
          <w:szCs w:val="22"/>
        </w:rPr>
        <w:t xml:space="preserve"> eFt</w:t>
      </w:r>
      <w:r w:rsidRPr="00B62487">
        <w:rPr>
          <w:rFonts w:ascii="Calibri" w:hAnsi="Calibri" w:cs="Calibri"/>
          <w:sz w:val="22"/>
          <w:szCs w:val="22"/>
        </w:rPr>
        <w:t xml:space="preserve"> összegű</w:t>
      </w:r>
      <w:r w:rsidRPr="001933AF">
        <w:rPr>
          <w:rFonts w:ascii="Calibri" w:hAnsi="Calibri" w:cs="Calibri"/>
          <w:sz w:val="22"/>
          <w:szCs w:val="22"/>
        </w:rPr>
        <w:t xml:space="preserve"> támogatás, mellyel egyidejűleg a pótlékra jogosultakat foglalkoztató intézmények (Pálos K. Szociális Szolgáltató, valamint az Egyesített Bölcsődei Intézmény) költségvetési kiadási előirányzatai kerültek megemelésre. </w:t>
      </w:r>
    </w:p>
    <w:p w14:paraId="4216F157" w14:textId="77777777" w:rsidR="003622DB" w:rsidRPr="00F14DC1" w:rsidRDefault="003622DB" w:rsidP="003622DB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535814F" w14:textId="77777777" w:rsidR="005550CA" w:rsidRDefault="00306622" w:rsidP="005550CA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5550CA">
        <w:rPr>
          <w:rFonts w:ascii="Calibri" w:hAnsi="Calibri" w:cs="Calibri"/>
          <w:sz w:val="22"/>
          <w:szCs w:val="22"/>
        </w:rPr>
        <w:t>A veszélyhelyzet ideje alatt a szomszédos országban fennálló humanitárius katasztrófára tekintettel érkező személyek elhelyezésének támogatásáról és az azzal kapcsolatos egyéb intézkedésekről szóló 104/2022. (II.12.) Korm.rend.alapján Önkormányzatunk a rendeletben meghatározott támogatás igénylés feltételeinek megfelelően a helyi védelmi bizottság részére az igény bejelentést megküldi. Az önkormányzat az ideiglenes védelemre jogosult vagy a menedékes szállása és ellátása után naponta elszállásolta</w:t>
      </w:r>
      <w:r w:rsidR="005550CA">
        <w:rPr>
          <w:rFonts w:ascii="Calibri" w:hAnsi="Calibri" w:cs="Calibri"/>
          <w:sz w:val="22"/>
          <w:szCs w:val="22"/>
        </w:rPr>
        <w:t>nként és ellátottanként</w:t>
      </w:r>
      <w:r w:rsidRPr="005550CA">
        <w:rPr>
          <w:rFonts w:ascii="Calibri" w:hAnsi="Calibri" w:cs="Calibri"/>
          <w:sz w:val="22"/>
          <w:szCs w:val="22"/>
        </w:rPr>
        <w:t xml:space="preserve"> 2022. november 1. napját követőe</w:t>
      </w:r>
      <w:r w:rsidR="000638B7" w:rsidRPr="005550CA">
        <w:rPr>
          <w:rFonts w:ascii="Calibri" w:hAnsi="Calibri" w:cs="Calibri"/>
          <w:sz w:val="22"/>
          <w:szCs w:val="22"/>
        </w:rPr>
        <w:t xml:space="preserve">n </w:t>
      </w:r>
      <w:r w:rsidR="00361C88">
        <w:rPr>
          <w:rFonts w:ascii="Calibri" w:hAnsi="Calibri" w:cs="Calibri"/>
          <w:sz w:val="22"/>
          <w:szCs w:val="22"/>
        </w:rPr>
        <w:t>5</w:t>
      </w:r>
      <w:r w:rsidRPr="005550CA">
        <w:rPr>
          <w:rFonts w:ascii="Calibri" w:hAnsi="Calibri" w:cs="Calibri"/>
          <w:sz w:val="22"/>
          <w:szCs w:val="22"/>
        </w:rPr>
        <w:t xml:space="preserve">.000 Ft fajlagos támogatásra jogosult. </w:t>
      </w:r>
      <w:r w:rsidR="005550CA" w:rsidRPr="005550CA">
        <w:rPr>
          <w:rFonts w:ascii="Calibri" w:hAnsi="Calibri" w:cs="Calibri"/>
          <w:sz w:val="22"/>
          <w:szCs w:val="22"/>
        </w:rPr>
        <w:t>Ez</w:t>
      </w:r>
      <w:r w:rsidR="00E8345E">
        <w:rPr>
          <w:rFonts w:ascii="Calibri" w:hAnsi="Calibri" w:cs="Calibri"/>
          <w:sz w:val="22"/>
          <w:szCs w:val="22"/>
        </w:rPr>
        <w:t xml:space="preserve"> </w:t>
      </w:r>
      <w:r w:rsidR="005550CA" w:rsidRPr="005550CA">
        <w:rPr>
          <w:rFonts w:ascii="Calibri" w:hAnsi="Calibri" w:cs="Calibri"/>
          <w:sz w:val="22"/>
          <w:szCs w:val="22"/>
        </w:rPr>
        <w:t xml:space="preserve">idáig már beemelt támogatáson felül </w:t>
      </w:r>
      <w:r w:rsidR="005550CA" w:rsidRPr="002B08F5">
        <w:rPr>
          <w:rFonts w:ascii="Calibri" w:hAnsi="Calibri" w:cs="Calibri"/>
          <w:sz w:val="22"/>
          <w:szCs w:val="22"/>
        </w:rPr>
        <w:t xml:space="preserve">további </w:t>
      </w:r>
      <w:r w:rsidR="002B08F5" w:rsidRPr="002B08F5">
        <w:rPr>
          <w:rFonts w:ascii="Calibri" w:hAnsi="Calibri" w:cs="Calibri"/>
          <w:sz w:val="22"/>
          <w:szCs w:val="22"/>
        </w:rPr>
        <w:t xml:space="preserve">7.265 </w:t>
      </w:r>
      <w:r w:rsidR="005550CA" w:rsidRPr="002B08F5">
        <w:rPr>
          <w:rFonts w:ascii="Calibri" w:hAnsi="Calibri" w:cs="Calibri"/>
          <w:sz w:val="22"/>
          <w:szCs w:val="22"/>
        </w:rPr>
        <w:t>eFt összegben részesültünk. Ez alapján mind a bevételi mind pedig a kiadási előirányzat (szociális ágazat kiadásai</w:t>
      </w:r>
      <w:r w:rsidR="005550CA" w:rsidRPr="005550CA">
        <w:rPr>
          <w:rFonts w:ascii="Calibri" w:hAnsi="Calibri" w:cs="Calibri"/>
          <w:sz w:val="22"/>
          <w:szCs w:val="22"/>
        </w:rPr>
        <w:t xml:space="preserve">) beemelése megtörtént a költségvetési rendeletbe. Ezen összegből az elhelyezést és ellátást biztosító intézmények, szervezetek kerülnek támogatásra. Ebből az összegből a Pálos Károly Szociális Szolgáltató Központ és Gyermekjóléti Szolgálat intézmény </w:t>
      </w:r>
      <w:r w:rsidR="005550CA" w:rsidRPr="002B08F5">
        <w:rPr>
          <w:rFonts w:ascii="Calibri" w:hAnsi="Calibri" w:cs="Calibri"/>
          <w:sz w:val="22"/>
          <w:szCs w:val="22"/>
        </w:rPr>
        <w:t xml:space="preserve">részére </w:t>
      </w:r>
      <w:r w:rsidR="002B08F5" w:rsidRPr="002B08F5">
        <w:rPr>
          <w:rFonts w:ascii="Calibri" w:hAnsi="Calibri" w:cs="Calibri"/>
          <w:sz w:val="22"/>
          <w:szCs w:val="22"/>
        </w:rPr>
        <w:t xml:space="preserve">720 </w:t>
      </w:r>
      <w:r w:rsidR="005550CA" w:rsidRPr="002B08F5">
        <w:rPr>
          <w:rFonts w:ascii="Calibri" w:hAnsi="Calibri" w:cs="Calibri"/>
          <w:sz w:val="22"/>
          <w:szCs w:val="22"/>
        </w:rPr>
        <w:t>eFt összeg került</w:t>
      </w:r>
      <w:r w:rsidR="005550CA" w:rsidRPr="005550CA">
        <w:rPr>
          <w:rFonts w:ascii="Calibri" w:hAnsi="Calibri" w:cs="Calibri"/>
          <w:sz w:val="22"/>
          <w:szCs w:val="22"/>
        </w:rPr>
        <w:t xml:space="preserve"> támogatásként biztosításra.</w:t>
      </w:r>
    </w:p>
    <w:p w14:paraId="70AE59FC" w14:textId="77777777" w:rsidR="005550CA" w:rsidRDefault="005550CA" w:rsidP="005550CA">
      <w:pPr>
        <w:pStyle w:val="Listaszerbekezds"/>
        <w:rPr>
          <w:rFonts w:ascii="Calibri" w:hAnsi="Calibri" w:cs="Calibri"/>
          <w:sz w:val="22"/>
          <w:szCs w:val="22"/>
        </w:rPr>
      </w:pPr>
    </w:p>
    <w:p w14:paraId="6BBF11C7" w14:textId="77777777" w:rsidR="00500B0C" w:rsidRPr="004B376B" w:rsidRDefault="00500B0C" w:rsidP="004B376B">
      <w:pPr>
        <w:numPr>
          <w:ilvl w:val="0"/>
          <w:numId w:val="32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4B376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</w:t>
      </w:r>
      <w:r w:rsidR="00293327" w:rsidRPr="004B376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4B376B" w:rsidRPr="004B376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+35.734 </w:t>
      </w:r>
      <w:r w:rsidRPr="004B376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1C19FB9A" w14:textId="77777777" w:rsidR="00BF3A9B" w:rsidRDefault="00BF3A9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BD6039C" w14:textId="77777777" w:rsidR="00EB7AAE" w:rsidRDefault="00EB7AAE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C554825" w14:textId="77777777" w:rsidR="004B376B" w:rsidRDefault="004B376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EBD906D" w14:textId="77777777" w:rsidR="004B376B" w:rsidRDefault="004B376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95A8F65" w14:textId="77777777" w:rsidR="004B376B" w:rsidRDefault="004B376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323C01D0" w14:textId="77777777" w:rsidR="004B376B" w:rsidRPr="00F14DC1" w:rsidRDefault="004B376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31E6686" w14:textId="77777777" w:rsidR="00646B1C" w:rsidRDefault="004B376B" w:rsidP="004B376B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b)</w:t>
      </w:r>
      <w:r w:rsidR="00500B0C" w:rsidRPr="00F14DC1">
        <w:rPr>
          <w:rFonts w:ascii="Calibri" w:hAnsi="Calibri" w:cs="Calibri"/>
          <w:sz w:val="22"/>
          <w:szCs w:val="22"/>
        </w:rPr>
        <w:t xml:space="preserve">A költségvetési szervek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saját hatáskörben végrehajtható előirányzat módosítási</w:t>
      </w:r>
      <w:r w:rsidR="00500B0C"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500B0C" w:rsidRPr="00F14DC1">
        <w:rPr>
          <w:rFonts w:ascii="Calibri" w:hAnsi="Calibri" w:cs="Calibri"/>
          <w:sz w:val="22"/>
          <w:szCs w:val="22"/>
        </w:rPr>
        <w:t xml:space="preserve">kérelmet nyújtottak be. A bevételi és kiadási előirányzataik ezen módosítással összességében </w:t>
      </w:r>
      <w:r w:rsidR="00B96F3D" w:rsidRPr="002C09BF">
        <w:rPr>
          <w:rFonts w:ascii="Calibri" w:hAnsi="Calibri" w:cs="Calibri"/>
          <w:sz w:val="22"/>
          <w:szCs w:val="22"/>
        </w:rPr>
        <w:t>229.387</w:t>
      </w:r>
      <w:r w:rsidR="00500B0C" w:rsidRPr="002C09BF">
        <w:rPr>
          <w:rFonts w:ascii="Calibri" w:hAnsi="Calibri" w:cs="Calibri"/>
          <w:sz w:val="22"/>
          <w:szCs w:val="22"/>
        </w:rPr>
        <w:t xml:space="preserve"> eFt-</w:t>
      </w:r>
      <w:r w:rsidR="00500B0C" w:rsidRPr="00F14DC1">
        <w:rPr>
          <w:rFonts w:ascii="Calibri" w:hAnsi="Calibri" w:cs="Calibri"/>
          <w:sz w:val="22"/>
          <w:szCs w:val="22"/>
        </w:rPr>
        <w:t xml:space="preserve">tal </w:t>
      </w:r>
      <w:r w:rsidR="00E43772" w:rsidRPr="00F14DC1">
        <w:rPr>
          <w:rFonts w:ascii="Calibri" w:hAnsi="Calibri" w:cs="Calibri"/>
          <w:sz w:val="22"/>
          <w:szCs w:val="22"/>
        </w:rPr>
        <w:t>növeked</w:t>
      </w:r>
      <w:r w:rsidR="00B3221C">
        <w:rPr>
          <w:rFonts w:ascii="Calibri" w:hAnsi="Calibri" w:cs="Calibri"/>
          <w:sz w:val="22"/>
          <w:szCs w:val="22"/>
        </w:rPr>
        <w:t>tek</w:t>
      </w:r>
      <w:r w:rsidR="00E43772" w:rsidRPr="00F14DC1">
        <w:rPr>
          <w:rFonts w:ascii="Calibri" w:hAnsi="Calibri" w:cs="Calibri"/>
          <w:sz w:val="22"/>
          <w:szCs w:val="22"/>
        </w:rPr>
        <w:t>.</w:t>
      </w:r>
      <w:r w:rsidR="00630B3E">
        <w:rPr>
          <w:rFonts w:ascii="Calibri" w:hAnsi="Calibri" w:cs="Calibri"/>
          <w:sz w:val="22"/>
          <w:szCs w:val="22"/>
        </w:rPr>
        <w:t xml:space="preserve"> </w:t>
      </w:r>
    </w:p>
    <w:p w14:paraId="004FF3FB" w14:textId="77777777" w:rsidR="00F65754" w:rsidRDefault="00F65754" w:rsidP="00F65754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64F9ABC" w14:textId="77777777" w:rsidR="00500B0C" w:rsidRPr="00735EDA" w:rsidRDefault="00630B3E" w:rsidP="00646B1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35EDA">
        <w:rPr>
          <w:rFonts w:ascii="Calibri" w:hAnsi="Calibri" w:cs="Calibri"/>
          <w:sz w:val="22"/>
          <w:szCs w:val="22"/>
        </w:rPr>
        <w:t>A Szombathelyi Köznevelési GAMESZ valamint</w:t>
      </w:r>
      <w:r w:rsidR="00E75268" w:rsidRPr="00735EDA">
        <w:rPr>
          <w:rFonts w:ascii="Calibri" w:hAnsi="Calibri" w:cs="Calibri"/>
          <w:sz w:val="22"/>
          <w:szCs w:val="22"/>
        </w:rPr>
        <w:t xml:space="preserve"> a </w:t>
      </w:r>
      <w:r w:rsidRPr="00735EDA">
        <w:rPr>
          <w:rFonts w:ascii="Calibri" w:hAnsi="Calibri" w:cs="Calibri"/>
          <w:sz w:val="22"/>
          <w:szCs w:val="22"/>
        </w:rPr>
        <w:t>1</w:t>
      </w:r>
      <w:r w:rsidR="00646B1C" w:rsidRPr="00735EDA">
        <w:rPr>
          <w:rFonts w:ascii="Calibri" w:hAnsi="Calibri" w:cs="Calibri"/>
          <w:sz w:val="22"/>
          <w:szCs w:val="22"/>
        </w:rPr>
        <w:t>8</w:t>
      </w:r>
      <w:r w:rsidRPr="00735EDA">
        <w:rPr>
          <w:rFonts w:ascii="Calibri" w:hAnsi="Calibri" w:cs="Calibri"/>
          <w:sz w:val="22"/>
          <w:szCs w:val="22"/>
        </w:rPr>
        <w:t xml:space="preserve"> ó</w:t>
      </w:r>
      <w:r w:rsidR="003C1556" w:rsidRPr="00735EDA">
        <w:rPr>
          <w:rFonts w:ascii="Calibri" w:hAnsi="Calibri" w:cs="Calibri"/>
          <w:sz w:val="22"/>
          <w:szCs w:val="22"/>
        </w:rPr>
        <w:t xml:space="preserve">voda </w:t>
      </w:r>
      <w:r w:rsidR="00863916">
        <w:rPr>
          <w:rFonts w:ascii="Calibri" w:hAnsi="Calibri" w:cs="Calibri"/>
          <w:sz w:val="22"/>
          <w:szCs w:val="22"/>
        </w:rPr>
        <w:t xml:space="preserve">összesen </w:t>
      </w:r>
      <w:r w:rsidR="00B9096B" w:rsidRPr="00B96F3D">
        <w:rPr>
          <w:rFonts w:ascii="Calibri" w:hAnsi="Calibri" w:cs="Calibri"/>
          <w:sz w:val="22"/>
          <w:szCs w:val="22"/>
        </w:rPr>
        <w:t>2</w:t>
      </w:r>
      <w:r w:rsidR="00863916" w:rsidRPr="00B96F3D">
        <w:rPr>
          <w:rFonts w:ascii="Calibri" w:hAnsi="Calibri" w:cs="Calibri"/>
          <w:sz w:val="22"/>
          <w:szCs w:val="22"/>
        </w:rPr>
        <w:t>9.532</w:t>
      </w:r>
      <w:r w:rsidR="003C1556" w:rsidRPr="00B96F3D">
        <w:rPr>
          <w:rFonts w:ascii="Calibri" w:hAnsi="Calibri" w:cs="Calibri"/>
          <w:sz w:val="22"/>
          <w:szCs w:val="22"/>
        </w:rPr>
        <w:t xml:space="preserve"> eFt</w:t>
      </w:r>
      <w:r w:rsidR="003C1556" w:rsidRPr="00735EDA">
        <w:rPr>
          <w:rFonts w:ascii="Calibri" w:hAnsi="Calibri" w:cs="Calibri"/>
          <w:sz w:val="22"/>
          <w:szCs w:val="22"/>
        </w:rPr>
        <w:t xml:space="preserve"> működési bevételi többletet realizált</w:t>
      </w:r>
      <w:r w:rsidR="00646B1C" w:rsidRPr="00735EDA">
        <w:rPr>
          <w:rFonts w:ascii="Calibri" w:hAnsi="Calibri" w:cs="Calibri"/>
          <w:sz w:val="22"/>
          <w:szCs w:val="22"/>
        </w:rPr>
        <w:t>. Ezen bevételek</w:t>
      </w:r>
      <w:r w:rsidRPr="00735EDA">
        <w:rPr>
          <w:rFonts w:ascii="Calibri" w:hAnsi="Calibri" w:cs="Calibri"/>
          <w:sz w:val="22"/>
          <w:szCs w:val="22"/>
        </w:rPr>
        <w:t xml:space="preserve"> az</w:t>
      </w:r>
      <w:r w:rsidR="00B9096B" w:rsidRPr="00735EDA">
        <w:rPr>
          <w:rFonts w:ascii="Calibri" w:hAnsi="Calibri" w:cs="Calibri"/>
          <w:sz w:val="22"/>
          <w:szCs w:val="22"/>
        </w:rPr>
        <w:t xml:space="preserve"> óvodák tekintetében</w:t>
      </w:r>
      <w:r w:rsidRPr="00735EDA">
        <w:rPr>
          <w:rFonts w:ascii="Calibri" w:hAnsi="Calibri" w:cs="Calibri"/>
          <w:sz w:val="22"/>
          <w:szCs w:val="22"/>
        </w:rPr>
        <w:t xml:space="preserve"> </w:t>
      </w:r>
      <w:r w:rsidR="00B9096B" w:rsidRPr="00735EDA">
        <w:rPr>
          <w:rFonts w:ascii="Calibri" w:hAnsi="Calibri" w:cs="Calibri"/>
          <w:sz w:val="22"/>
          <w:szCs w:val="22"/>
        </w:rPr>
        <w:t xml:space="preserve">az </w:t>
      </w:r>
      <w:r w:rsidRPr="00735EDA">
        <w:rPr>
          <w:rFonts w:ascii="Calibri" w:hAnsi="Calibri" w:cs="Calibri"/>
          <w:sz w:val="22"/>
          <w:szCs w:val="22"/>
        </w:rPr>
        <w:t>angol,</w:t>
      </w:r>
      <w:r w:rsidR="00B9096B" w:rsidRPr="00735EDA">
        <w:rPr>
          <w:rFonts w:ascii="Calibri" w:hAnsi="Calibri" w:cs="Calibri"/>
          <w:sz w:val="22"/>
          <w:szCs w:val="22"/>
        </w:rPr>
        <w:t xml:space="preserve"> a</w:t>
      </w:r>
      <w:r w:rsidRPr="00735EDA">
        <w:rPr>
          <w:rFonts w:ascii="Calibri" w:hAnsi="Calibri" w:cs="Calibri"/>
          <w:sz w:val="22"/>
          <w:szCs w:val="22"/>
        </w:rPr>
        <w:t xml:space="preserve"> német nyelvi oktatáshoz</w:t>
      </w:r>
      <w:r w:rsidR="00B9096B" w:rsidRPr="00735EDA">
        <w:rPr>
          <w:rFonts w:ascii="Calibri" w:hAnsi="Calibri" w:cs="Calibri"/>
          <w:sz w:val="22"/>
          <w:szCs w:val="22"/>
        </w:rPr>
        <w:t xml:space="preserve">, </w:t>
      </w:r>
      <w:r w:rsidRPr="00735EDA">
        <w:rPr>
          <w:rFonts w:ascii="Calibri" w:hAnsi="Calibri" w:cs="Calibri"/>
          <w:sz w:val="22"/>
          <w:szCs w:val="22"/>
        </w:rPr>
        <w:t>a zeneovi</w:t>
      </w:r>
      <w:r w:rsidR="00646B1C" w:rsidRPr="00735EDA">
        <w:rPr>
          <w:rFonts w:ascii="Calibri" w:hAnsi="Calibri" w:cs="Calibri"/>
          <w:sz w:val="22"/>
          <w:szCs w:val="22"/>
        </w:rPr>
        <w:t xml:space="preserve">, </w:t>
      </w:r>
      <w:r w:rsidR="00B9096B" w:rsidRPr="00735EDA">
        <w:rPr>
          <w:rFonts w:ascii="Calibri" w:hAnsi="Calibri" w:cs="Calibri"/>
          <w:sz w:val="22"/>
          <w:szCs w:val="22"/>
        </w:rPr>
        <w:t xml:space="preserve">és a </w:t>
      </w:r>
      <w:r w:rsidR="00646B1C" w:rsidRPr="00735EDA">
        <w:rPr>
          <w:rFonts w:ascii="Calibri" w:hAnsi="Calibri" w:cs="Calibri"/>
          <w:sz w:val="22"/>
          <w:szCs w:val="22"/>
        </w:rPr>
        <w:t>táncoktatási</w:t>
      </w:r>
      <w:r w:rsidRPr="00735EDA">
        <w:rPr>
          <w:rFonts w:ascii="Calibri" w:hAnsi="Calibri" w:cs="Calibri"/>
          <w:sz w:val="22"/>
          <w:szCs w:val="22"/>
        </w:rPr>
        <w:t xml:space="preserve"> szolgáltatások</w:t>
      </w:r>
      <w:r w:rsidR="00646B1C" w:rsidRPr="00735EDA">
        <w:rPr>
          <w:rFonts w:ascii="Calibri" w:hAnsi="Calibri" w:cs="Calibri"/>
          <w:sz w:val="22"/>
          <w:szCs w:val="22"/>
        </w:rPr>
        <w:t>hoz kapcsolódó</w:t>
      </w:r>
      <w:r w:rsidRPr="00735EDA">
        <w:rPr>
          <w:rFonts w:ascii="Calibri" w:hAnsi="Calibri" w:cs="Calibri"/>
          <w:sz w:val="22"/>
          <w:szCs w:val="22"/>
        </w:rPr>
        <w:t xml:space="preserve"> </w:t>
      </w:r>
      <w:r w:rsidR="00646B1C" w:rsidRPr="00735EDA">
        <w:rPr>
          <w:rFonts w:ascii="Calibri" w:hAnsi="Calibri" w:cs="Calibri"/>
          <w:sz w:val="22"/>
          <w:szCs w:val="22"/>
        </w:rPr>
        <w:t>befizetése</w:t>
      </w:r>
      <w:r w:rsidR="00B9096B" w:rsidRPr="00735EDA">
        <w:rPr>
          <w:rFonts w:ascii="Calibri" w:hAnsi="Calibri" w:cs="Calibri"/>
          <w:sz w:val="22"/>
          <w:szCs w:val="22"/>
        </w:rPr>
        <w:t>k</w:t>
      </w:r>
      <w:r w:rsidR="00646B1C" w:rsidRPr="00735EDA">
        <w:rPr>
          <w:rFonts w:ascii="Calibri" w:hAnsi="Calibri" w:cs="Calibri"/>
          <w:sz w:val="22"/>
          <w:szCs w:val="22"/>
        </w:rPr>
        <w:t xml:space="preserve">ből származnak. </w:t>
      </w:r>
      <w:r w:rsidR="00B9096B" w:rsidRPr="00735EDA">
        <w:rPr>
          <w:rFonts w:ascii="Calibri" w:hAnsi="Calibri" w:cs="Calibri"/>
          <w:sz w:val="22"/>
          <w:szCs w:val="22"/>
        </w:rPr>
        <w:t xml:space="preserve">A Szombathelyi Köznevelési GAMESZ vonatkozásában pedig alapvetően a közvetett szolgáltatások továbbszámlázott ellenértékéből és az áfa visszaigénylésből származik. </w:t>
      </w:r>
      <w:r w:rsidR="00646B1C" w:rsidRPr="00735EDA">
        <w:rPr>
          <w:rFonts w:ascii="Calibri" w:hAnsi="Calibri" w:cs="Calibri"/>
          <w:sz w:val="22"/>
          <w:szCs w:val="22"/>
        </w:rPr>
        <w:t>Ugyancsak itt szerepel a nem szombathelyi lakcímmel rendelkező óvodások után a vidéki önkormányzatok által befizetett étkezési hozzájárulások</w:t>
      </w:r>
      <w:r w:rsidR="00B9096B" w:rsidRPr="00735EDA">
        <w:rPr>
          <w:rFonts w:ascii="Calibri" w:hAnsi="Calibri" w:cs="Calibri"/>
          <w:sz w:val="22"/>
          <w:szCs w:val="22"/>
        </w:rPr>
        <w:t xml:space="preserve"> bevételi többlete is. </w:t>
      </w:r>
    </w:p>
    <w:p w14:paraId="06EFDAC5" w14:textId="77777777" w:rsidR="00B9096B" w:rsidRPr="00735EDA" w:rsidRDefault="00B9096B" w:rsidP="00646B1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35EDA">
        <w:rPr>
          <w:rFonts w:ascii="Calibri" w:hAnsi="Calibri" w:cs="Calibri"/>
          <w:sz w:val="22"/>
          <w:szCs w:val="22"/>
        </w:rPr>
        <w:t>Ezen többletbevételek a hozzá kapcsolódó kiadási előirányzatokra (vásárolt élelmezés, közvetített szolgáltatások) kerültek felhasználásra.</w:t>
      </w:r>
    </w:p>
    <w:p w14:paraId="3AA86973" w14:textId="77777777" w:rsidR="00B9096B" w:rsidRPr="00883CBC" w:rsidRDefault="00B9096B" w:rsidP="00646B1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35EDA">
        <w:rPr>
          <w:rFonts w:ascii="Calibri" w:hAnsi="Calibri" w:cs="Calibri"/>
          <w:sz w:val="22"/>
          <w:szCs w:val="22"/>
        </w:rPr>
        <w:t>A kiadási előirányzatok várható maradvány összegeinek</w:t>
      </w:r>
      <w:r w:rsidR="007E6511" w:rsidRPr="00735EDA">
        <w:rPr>
          <w:rFonts w:ascii="Calibri" w:hAnsi="Calibri" w:cs="Calibri"/>
          <w:sz w:val="22"/>
          <w:szCs w:val="22"/>
        </w:rPr>
        <w:t xml:space="preserve"> (élelmezési és energia költségek maradványa</w:t>
      </w:r>
      <w:r w:rsidR="00863916">
        <w:rPr>
          <w:rFonts w:ascii="Calibri" w:hAnsi="Calibri" w:cs="Calibri"/>
          <w:sz w:val="22"/>
          <w:szCs w:val="22"/>
        </w:rPr>
        <w:t>, 68.750 eFt</w:t>
      </w:r>
      <w:r w:rsidR="007E6511" w:rsidRPr="00735EDA">
        <w:rPr>
          <w:rFonts w:ascii="Calibri" w:hAnsi="Calibri" w:cs="Calibri"/>
          <w:sz w:val="22"/>
          <w:szCs w:val="22"/>
        </w:rPr>
        <w:t xml:space="preserve">) </w:t>
      </w:r>
      <w:r w:rsidRPr="00735EDA">
        <w:rPr>
          <w:rFonts w:ascii="Calibri" w:hAnsi="Calibri" w:cs="Calibri"/>
          <w:sz w:val="22"/>
          <w:szCs w:val="22"/>
        </w:rPr>
        <w:t xml:space="preserve">átcsoportosítása történt meg a beruházási kiadások előirányzatára. A tervezett feladatok: Weöres Sándor Óvoda tetőbevilágító ablak csere, Mesevár Óvoda </w:t>
      </w:r>
      <w:r w:rsidRPr="00883CBC">
        <w:rPr>
          <w:rFonts w:ascii="Calibri" w:hAnsi="Calibri" w:cs="Calibri"/>
          <w:sz w:val="22"/>
          <w:szCs w:val="22"/>
        </w:rPr>
        <w:t>balesetveszélyes kerítés átépítése, Hétszínvirág Óvoda pergola építés</w:t>
      </w:r>
      <w:r w:rsidR="0049570B" w:rsidRPr="00883CBC">
        <w:rPr>
          <w:rFonts w:ascii="Calibri" w:hAnsi="Calibri" w:cs="Calibri"/>
          <w:sz w:val="22"/>
          <w:szCs w:val="22"/>
        </w:rPr>
        <w:t>, k</w:t>
      </w:r>
      <w:r w:rsidRPr="00883CBC">
        <w:rPr>
          <w:rFonts w:ascii="Calibri" w:hAnsi="Calibri" w:cs="Calibri"/>
          <w:sz w:val="22"/>
          <w:szCs w:val="22"/>
        </w:rPr>
        <w:t xml:space="preserve">isebb beruházási feladatok több óvodát érintően: füstelvezető ablak beépítése, étkezési modul és kártyás rendszer bevezetése, balesetveszélyes burkolatok cseréje, </w:t>
      </w:r>
      <w:r w:rsidR="007E6511" w:rsidRPr="00883CBC">
        <w:rPr>
          <w:rFonts w:ascii="Calibri" w:hAnsi="Calibri" w:cs="Calibri"/>
          <w:sz w:val="22"/>
          <w:szCs w:val="22"/>
        </w:rPr>
        <w:t>tetőjavítások, esőelvezető rendszer javítása,</w:t>
      </w:r>
      <w:r w:rsidR="005B0302" w:rsidRPr="00883CBC">
        <w:rPr>
          <w:rFonts w:ascii="Calibri" w:hAnsi="Calibri" w:cs="Calibri"/>
          <w:sz w:val="22"/>
          <w:szCs w:val="22"/>
        </w:rPr>
        <w:t xml:space="preserve"> </w:t>
      </w:r>
      <w:r w:rsidR="007E6511" w:rsidRPr="00883CBC">
        <w:rPr>
          <w:rFonts w:ascii="Calibri" w:hAnsi="Calibri" w:cs="Calibri"/>
          <w:sz w:val="22"/>
          <w:szCs w:val="22"/>
        </w:rPr>
        <w:t>stb.) Technikai jellegű átcsoportosítások is történtek alapvetően az óvodák tekintetében</w:t>
      </w:r>
      <w:r w:rsidR="0049570B" w:rsidRPr="00883CBC">
        <w:rPr>
          <w:rFonts w:ascii="Calibri" w:hAnsi="Calibri" w:cs="Calibri"/>
          <w:sz w:val="22"/>
          <w:szCs w:val="22"/>
        </w:rPr>
        <w:t>,</w:t>
      </w:r>
      <w:r w:rsidR="007E6511" w:rsidRPr="00883CBC">
        <w:rPr>
          <w:rFonts w:ascii="Calibri" w:hAnsi="Calibri" w:cs="Calibri"/>
          <w:sz w:val="22"/>
          <w:szCs w:val="22"/>
        </w:rPr>
        <w:t xml:space="preserve"> az éven túl használt tárgyi eszközök beszerzésének kiadásait a beruházások között kell elszámolni. </w:t>
      </w:r>
    </w:p>
    <w:p w14:paraId="69E2416A" w14:textId="77777777" w:rsidR="00B9096B" w:rsidRPr="00883CBC" w:rsidRDefault="00B9096B" w:rsidP="00646B1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7F46D5B" w14:textId="77777777" w:rsidR="00785D2B" w:rsidRPr="004354D5" w:rsidRDefault="00170FAF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5F04C5">
        <w:rPr>
          <w:rFonts w:ascii="Calibri" w:hAnsi="Calibri" w:cs="Calibri"/>
          <w:sz w:val="22"/>
          <w:szCs w:val="22"/>
        </w:rPr>
        <w:t>M</w:t>
      </w:r>
      <w:r w:rsidR="00C83D63" w:rsidRPr="005F04C5">
        <w:rPr>
          <w:rFonts w:ascii="Calibri" w:hAnsi="Calibri" w:cs="Calibri"/>
          <w:sz w:val="22"/>
          <w:szCs w:val="22"/>
        </w:rPr>
        <w:t>űködési többletbevétel keletkezett a Mesebolt Bábszínház</w:t>
      </w:r>
      <w:r w:rsidRPr="005F04C5">
        <w:rPr>
          <w:rFonts w:ascii="Calibri" w:hAnsi="Calibri" w:cs="Calibri"/>
          <w:sz w:val="22"/>
          <w:szCs w:val="22"/>
        </w:rPr>
        <w:t xml:space="preserve"> esetében</w:t>
      </w:r>
      <w:r w:rsidR="00C83D63" w:rsidRPr="005F04C5">
        <w:rPr>
          <w:rFonts w:ascii="Calibri" w:hAnsi="Calibri" w:cs="Calibri"/>
          <w:sz w:val="22"/>
          <w:szCs w:val="22"/>
        </w:rPr>
        <w:t xml:space="preserve">, a </w:t>
      </w:r>
      <w:r w:rsidRPr="005F04C5">
        <w:rPr>
          <w:rFonts w:ascii="Calibri" w:hAnsi="Calibri" w:cs="Calibri"/>
          <w:sz w:val="22"/>
          <w:szCs w:val="22"/>
        </w:rPr>
        <w:t>Színházi Olimpia, és Lázár Ervin program megvalósítása kapcsán. Így a</w:t>
      </w:r>
      <w:r w:rsidR="00C83D63" w:rsidRPr="005F04C5">
        <w:rPr>
          <w:rFonts w:ascii="Calibri" w:hAnsi="Calibri" w:cs="Calibri"/>
          <w:sz w:val="22"/>
          <w:szCs w:val="22"/>
        </w:rPr>
        <w:t xml:space="preserve">z intézmény saját bevételét </w:t>
      </w:r>
      <w:r w:rsidRPr="005F04C5">
        <w:rPr>
          <w:rFonts w:ascii="Calibri" w:hAnsi="Calibri" w:cs="Calibri"/>
          <w:sz w:val="22"/>
          <w:szCs w:val="22"/>
        </w:rPr>
        <w:t xml:space="preserve">összességében 22.826 </w:t>
      </w:r>
      <w:r w:rsidR="00C83D63" w:rsidRPr="005F04C5">
        <w:rPr>
          <w:rFonts w:ascii="Calibri" w:hAnsi="Calibri" w:cs="Calibri"/>
          <w:sz w:val="22"/>
          <w:szCs w:val="22"/>
        </w:rPr>
        <w:t>e Ft-tal növe</w:t>
      </w:r>
      <w:r w:rsidRPr="005F04C5">
        <w:rPr>
          <w:rFonts w:ascii="Calibri" w:hAnsi="Calibri" w:cs="Calibri"/>
          <w:sz w:val="22"/>
          <w:szCs w:val="22"/>
        </w:rPr>
        <w:t>kedett. A bevételek a fent</w:t>
      </w:r>
      <w:r w:rsidR="00883CBC">
        <w:rPr>
          <w:rFonts w:ascii="Calibri" w:hAnsi="Calibri" w:cs="Calibri"/>
          <w:sz w:val="22"/>
          <w:szCs w:val="22"/>
        </w:rPr>
        <w:t xml:space="preserve"> </w:t>
      </w:r>
      <w:r w:rsidRPr="005F04C5">
        <w:rPr>
          <w:rFonts w:ascii="Calibri" w:hAnsi="Calibri" w:cs="Calibri"/>
          <w:sz w:val="22"/>
          <w:szCs w:val="22"/>
        </w:rPr>
        <w:t xml:space="preserve">nevezett programokhoz kapcsolódóan a </w:t>
      </w:r>
      <w:r w:rsidR="00C83D63" w:rsidRPr="004354D5">
        <w:rPr>
          <w:rFonts w:ascii="Calibri" w:hAnsi="Calibri" w:cs="Calibri"/>
          <w:sz w:val="22"/>
          <w:szCs w:val="22"/>
        </w:rPr>
        <w:t>fellépő művészek és együttesek kiadásaira biztosít</w:t>
      </w:r>
      <w:r w:rsidRPr="004354D5">
        <w:rPr>
          <w:rFonts w:ascii="Calibri" w:hAnsi="Calibri" w:cs="Calibri"/>
          <w:sz w:val="22"/>
          <w:szCs w:val="22"/>
        </w:rPr>
        <w:t>ott</w:t>
      </w:r>
      <w:r w:rsidR="00C83D63" w:rsidRPr="004354D5">
        <w:rPr>
          <w:rFonts w:ascii="Calibri" w:hAnsi="Calibri" w:cs="Calibri"/>
          <w:sz w:val="22"/>
          <w:szCs w:val="22"/>
        </w:rPr>
        <w:t xml:space="preserve"> fedezetet. </w:t>
      </w:r>
    </w:p>
    <w:p w14:paraId="6713FA79" w14:textId="77777777" w:rsidR="00170FAF" w:rsidRPr="004354D5" w:rsidRDefault="004354D5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354D5">
        <w:rPr>
          <w:rFonts w:ascii="Calibri" w:hAnsi="Calibri" w:cs="Calibri"/>
          <w:sz w:val="22"/>
          <w:szCs w:val="22"/>
        </w:rPr>
        <w:t xml:space="preserve">Az előadások megvalósításához szükséges fény és hangtechnikai és asztalos gépek beszerzése történt meg, így a dologi kiadások előirányzatából a beruházási kiadások előirányzatára történt átcsoportosítás. </w:t>
      </w:r>
    </w:p>
    <w:p w14:paraId="047CD990" w14:textId="77777777" w:rsidR="005F04C5" w:rsidRDefault="005F04C5" w:rsidP="00C83D63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4B3287A" w14:textId="77777777" w:rsidR="00175586" w:rsidRPr="00175586" w:rsidRDefault="00C47BC7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75586">
        <w:rPr>
          <w:rFonts w:ascii="Calibri" w:hAnsi="Calibri" w:cs="Calibri"/>
          <w:sz w:val="22"/>
          <w:szCs w:val="22"/>
        </w:rPr>
        <w:t xml:space="preserve">A Savaria Szimfonikus Zenekar </w:t>
      </w:r>
      <w:r w:rsidR="00175586" w:rsidRPr="00175586">
        <w:rPr>
          <w:rFonts w:ascii="Calibri" w:hAnsi="Calibri" w:cs="Calibri"/>
          <w:sz w:val="22"/>
          <w:szCs w:val="22"/>
        </w:rPr>
        <w:t>működési többletbevétele 21.619 eFt, a felhalmozási többletbevétele pedig 3.100 eFt. A bevételek külföldi fellépésekből, szponzori támogatásból, és hangszer értékesítésből adódtak. A felhasználás dologi kiadásokon és a beruházások előirányzatán történt. Beszerzésre kerültek szakmai zenei eszközök</w:t>
      </w:r>
      <w:r w:rsidR="00175586">
        <w:rPr>
          <w:rFonts w:ascii="Calibri" w:hAnsi="Calibri" w:cs="Calibri"/>
          <w:sz w:val="22"/>
          <w:szCs w:val="22"/>
        </w:rPr>
        <w:t xml:space="preserve"> és hangszerek. </w:t>
      </w:r>
    </w:p>
    <w:p w14:paraId="2824AEE2" w14:textId="77777777" w:rsidR="00175586" w:rsidRDefault="00175586" w:rsidP="00C83D63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255D06C" w14:textId="77777777" w:rsidR="004025F8" w:rsidRPr="004025F8" w:rsidRDefault="00175586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025F8">
        <w:rPr>
          <w:rFonts w:ascii="Calibri" w:hAnsi="Calibri" w:cs="Calibri"/>
          <w:sz w:val="22"/>
          <w:szCs w:val="22"/>
        </w:rPr>
        <w:t>A Berzsenyi Dániel Könyvtár bevételi többletet realizált (</w:t>
      </w:r>
      <w:r w:rsidR="004025F8" w:rsidRPr="004025F8">
        <w:rPr>
          <w:rFonts w:ascii="Calibri" w:hAnsi="Calibri" w:cs="Calibri"/>
          <w:sz w:val="22"/>
          <w:szCs w:val="22"/>
        </w:rPr>
        <w:t xml:space="preserve">összesen </w:t>
      </w:r>
      <w:r w:rsidRPr="004025F8">
        <w:rPr>
          <w:rFonts w:ascii="Calibri" w:hAnsi="Calibri" w:cs="Calibri"/>
          <w:sz w:val="22"/>
          <w:szCs w:val="22"/>
        </w:rPr>
        <w:t>23.966 eFt)</w:t>
      </w:r>
      <w:r w:rsidR="0049570B">
        <w:rPr>
          <w:rFonts w:ascii="Calibri" w:hAnsi="Calibri" w:cs="Calibri"/>
          <w:sz w:val="22"/>
          <w:szCs w:val="22"/>
        </w:rPr>
        <w:t xml:space="preserve">a </w:t>
      </w:r>
      <w:r w:rsidRPr="004025F8">
        <w:rPr>
          <w:rFonts w:ascii="Calibri" w:hAnsi="Calibri" w:cs="Calibri"/>
          <w:sz w:val="22"/>
          <w:szCs w:val="22"/>
        </w:rPr>
        <w:t xml:space="preserve">biztosító által fizetett kártérítési összegből, </w:t>
      </w:r>
      <w:r w:rsidR="004025F8" w:rsidRPr="004025F8">
        <w:rPr>
          <w:rFonts w:ascii="Calibri" w:hAnsi="Calibri" w:cs="Calibri"/>
          <w:sz w:val="22"/>
          <w:szCs w:val="22"/>
        </w:rPr>
        <w:t xml:space="preserve">áfa visszaigénylésből és </w:t>
      </w:r>
      <w:r w:rsidRPr="004025F8">
        <w:rPr>
          <w:rFonts w:ascii="Calibri" w:hAnsi="Calibri" w:cs="Calibri"/>
          <w:sz w:val="22"/>
          <w:szCs w:val="22"/>
        </w:rPr>
        <w:t xml:space="preserve">több szakmai pályázati bevételből. </w:t>
      </w:r>
      <w:r w:rsidR="004025F8" w:rsidRPr="004025F8">
        <w:rPr>
          <w:rFonts w:ascii="Calibri" w:hAnsi="Calibri" w:cs="Calibri"/>
          <w:sz w:val="22"/>
          <w:szCs w:val="22"/>
        </w:rPr>
        <w:t xml:space="preserve">Az intézményi működési többletbevételt tűzivíz nyomásfokozószivattyú cseréjére, burkolat javításokra, bejárati ajtó javításra fordította. </w:t>
      </w:r>
    </w:p>
    <w:p w14:paraId="51297B2D" w14:textId="77777777" w:rsidR="00175586" w:rsidRPr="004025F8" w:rsidRDefault="00175586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025F8">
        <w:rPr>
          <w:rFonts w:ascii="Calibri" w:hAnsi="Calibri" w:cs="Calibri"/>
          <w:sz w:val="22"/>
          <w:szCs w:val="22"/>
        </w:rPr>
        <w:t xml:space="preserve">A pályázati pénzeszközök a pályázati kiírások feltételeinek megfelelve kerülhetnek felhasználásra, így </w:t>
      </w:r>
      <w:r w:rsidR="004025F8" w:rsidRPr="004025F8">
        <w:rPr>
          <w:rFonts w:ascii="Calibri" w:hAnsi="Calibri" w:cs="Calibri"/>
          <w:sz w:val="22"/>
          <w:szCs w:val="22"/>
        </w:rPr>
        <w:t xml:space="preserve">az ahhoz kapcsolódó kiadási előirányzatok kerültek megemelésre. </w:t>
      </w:r>
    </w:p>
    <w:p w14:paraId="3F67532D" w14:textId="77777777" w:rsidR="00175586" w:rsidRDefault="00175586" w:rsidP="00C83D63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9EEB96A" w14:textId="77777777" w:rsidR="004025F8" w:rsidRPr="00A579CE" w:rsidRDefault="00460367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A579CE">
        <w:rPr>
          <w:rFonts w:ascii="Calibri" w:hAnsi="Calibri" w:cs="Calibri"/>
          <w:sz w:val="22"/>
          <w:szCs w:val="22"/>
        </w:rPr>
        <w:t xml:space="preserve">A </w:t>
      </w:r>
      <w:r w:rsidR="00785D2B" w:rsidRPr="00A579CE">
        <w:rPr>
          <w:rFonts w:ascii="Calibri" w:hAnsi="Calibri" w:cs="Calibri"/>
          <w:sz w:val="22"/>
          <w:szCs w:val="22"/>
        </w:rPr>
        <w:t>Savaria Múzeum működési bevételi előirányzata saját hatáskörben megemelésre került</w:t>
      </w:r>
      <w:r w:rsidR="004025F8" w:rsidRPr="00A579CE">
        <w:rPr>
          <w:rFonts w:ascii="Calibri" w:hAnsi="Calibri" w:cs="Calibri"/>
          <w:sz w:val="22"/>
          <w:szCs w:val="22"/>
        </w:rPr>
        <w:t xml:space="preserve"> több szakmai pályázaton elnyert bevétel összegével mind a működés, mind pedig a felhalmozás tekintetében, összesen 37.469 eFt. </w:t>
      </w:r>
      <w:r w:rsidR="00D46E92" w:rsidRPr="00A579CE">
        <w:rPr>
          <w:rFonts w:ascii="Calibri" w:hAnsi="Calibri" w:cs="Calibri"/>
          <w:sz w:val="22"/>
          <w:szCs w:val="22"/>
        </w:rPr>
        <w:t xml:space="preserve">A pályázaton nyert pénzösszegből </w:t>
      </w:r>
      <w:r w:rsidR="007037FE" w:rsidRPr="00A579CE">
        <w:rPr>
          <w:rFonts w:ascii="Calibri" w:hAnsi="Calibri" w:cs="Calibri"/>
          <w:sz w:val="22"/>
          <w:szCs w:val="22"/>
        </w:rPr>
        <w:t>egyrészt a pályázati kiírásokban szereplő kifizetések történtek meg, másrészt pedig a</w:t>
      </w:r>
      <w:r w:rsidR="00D46E92" w:rsidRPr="00A579CE">
        <w:rPr>
          <w:rFonts w:ascii="Calibri" w:hAnsi="Calibri" w:cs="Calibri"/>
          <w:sz w:val="22"/>
          <w:szCs w:val="22"/>
        </w:rPr>
        <w:t xml:space="preserve"> múzeum szakmai gyűjteményének gyarapítása történt meg. </w:t>
      </w:r>
    </w:p>
    <w:p w14:paraId="564C1011" w14:textId="77777777" w:rsidR="004025F8" w:rsidRDefault="004025F8" w:rsidP="00C83D63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F11400E" w14:textId="77777777" w:rsidR="004025F8" w:rsidRDefault="004025F8" w:rsidP="00C83D63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3D337CC" w14:textId="77777777" w:rsidR="004025F8" w:rsidRDefault="004025F8" w:rsidP="00C83D63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910575D" w14:textId="77777777" w:rsidR="004025F8" w:rsidRDefault="004025F8" w:rsidP="00C83D63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2F464D9" w14:textId="77777777" w:rsidR="00A1558E" w:rsidRPr="00627FB5" w:rsidRDefault="00AA5848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A1558E">
        <w:rPr>
          <w:rFonts w:ascii="Calibri" w:hAnsi="Calibri" w:cs="Calibri"/>
          <w:sz w:val="22"/>
          <w:szCs w:val="22"/>
        </w:rPr>
        <w:lastRenderedPageBreak/>
        <w:t xml:space="preserve">A Pálos Károly Szociális Szolgáltató Központ és Gyermekjóléti Szolgálat intézményi többletbevétele </w:t>
      </w:r>
      <w:r w:rsidR="000D74EC" w:rsidRPr="00A1558E">
        <w:rPr>
          <w:rFonts w:ascii="Calibri" w:hAnsi="Calibri" w:cs="Calibri"/>
          <w:sz w:val="22"/>
          <w:szCs w:val="22"/>
        </w:rPr>
        <w:t>elsősorban</w:t>
      </w:r>
      <w:r w:rsidR="000422E8" w:rsidRPr="00A1558E">
        <w:rPr>
          <w:rFonts w:ascii="Calibri" w:hAnsi="Calibri" w:cs="Calibri"/>
          <w:sz w:val="22"/>
          <w:szCs w:val="22"/>
        </w:rPr>
        <w:t xml:space="preserve"> az ellátási díjak többletbevételéből</w:t>
      </w:r>
      <w:r w:rsidR="000D74EC" w:rsidRPr="00A1558E">
        <w:rPr>
          <w:rFonts w:ascii="Calibri" w:hAnsi="Calibri" w:cs="Calibri"/>
          <w:sz w:val="22"/>
          <w:szCs w:val="22"/>
        </w:rPr>
        <w:t xml:space="preserve">, kistérségi települések társulási megállapodás alapján megtérült fizetési kötelezettségeikből, bérleti díjbevétel többletéből, jelzőrendszeres házi segítségnyújtás ellátásához kapott alap és teljesítmény </w:t>
      </w:r>
      <w:r w:rsidR="000D74EC" w:rsidRPr="00627FB5">
        <w:rPr>
          <w:rFonts w:ascii="Calibri" w:hAnsi="Calibri" w:cs="Calibri"/>
          <w:sz w:val="22"/>
          <w:szCs w:val="22"/>
        </w:rPr>
        <w:t xml:space="preserve">támogatásból </w:t>
      </w:r>
      <w:r w:rsidR="000422E8" w:rsidRPr="00627FB5">
        <w:rPr>
          <w:rFonts w:ascii="Calibri" w:hAnsi="Calibri" w:cs="Calibri"/>
          <w:sz w:val="22"/>
          <w:szCs w:val="22"/>
        </w:rPr>
        <w:t>származik</w:t>
      </w:r>
      <w:r w:rsidR="000D74EC" w:rsidRPr="00627FB5">
        <w:rPr>
          <w:rFonts w:ascii="Calibri" w:hAnsi="Calibri" w:cs="Calibri"/>
          <w:sz w:val="22"/>
          <w:szCs w:val="22"/>
        </w:rPr>
        <w:t xml:space="preserve"> (26.015 eFt)</w:t>
      </w:r>
      <w:r w:rsidR="005F41F1" w:rsidRPr="00627FB5">
        <w:rPr>
          <w:rFonts w:ascii="Calibri" w:hAnsi="Calibri" w:cs="Calibri"/>
          <w:sz w:val="22"/>
          <w:szCs w:val="22"/>
        </w:rPr>
        <w:t xml:space="preserve">. </w:t>
      </w:r>
    </w:p>
    <w:p w14:paraId="24CDBF69" w14:textId="77777777" w:rsidR="00A1558E" w:rsidRPr="00627FB5" w:rsidRDefault="005F41F1" w:rsidP="00C83D63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627FB5">
        <w:rPr>
          <w:rFonts w:ascii="Calibri" w:hAnsi="Calibri" w:cs="Calibri"/>
          <w:sz w:val="22"/>
          <w:szCs w:val="22"/>
        </w:rPr>
        <w:t>A többlet</w:t>
      </w:r>
      <w:r w:rsidR="00E304CD" w:rsidRPr="00627FB5">
        <w:rPr>
          <w:rFonts w:ascii="Calibri" w:hAnsi="Calibri" w:cs="Calibri"/>
          <w:sz w:val="22"/>
          <w:szCs w:val="22"/>
        </w:rPr>
        <w:t xml:space="preserve"> </w:t>
      </w:r>
      <w:r w:rsidR="00A1558E" w:rsidRPr="00627FB5">
        <w:rPr>
          <w:rFonts w:ascii="Calibri" w:hAnsi="Calibri" w:cs="Calibri"/>
          <w:sz w:val="22"/>
          <w:szCs w:val="22"/>
        </w:rPr>
        <w:t>elsősorban</w:t>
      </w:r>
      <w:r w:rsidRPr="00627FB5">
        <w:rPr>
          <w:rFonts w:ascii="Calibri" w:hAnsi="Calibri" w:cs="Calibri"/>
          <w:sz w:val="22"/>
          <w:szCs w:val="22"/>
        </w:rPr>
        <w:t xml:space="preserve"> </w:t>
      </w:r>
      <w:r w:rsidR="000422E8" w:rsidRPr="00B96F3D">
        <w:rPr>
          <w:rFonts w:ascii="Calibri" w:hAnsi="Calibri" w:cs="Calibri"/>
          <w:sz w:val="22"/>
          <w:szCs w:val="22"/>
        </w:rPr>
        <w:t xml:space="preserve">a </w:t>
      </w:r>
      <w:r w:rsidR="00A1558E" w:rsidRPr="00B96F3D">
        <w:rPr>
          <w:rFonts w:ascii="Calibri" w:hAnsi="Calibri" w:cs="Calibri"/>
          <w:sz w:val="22"/>
          <w:szCs w:val="22"/>
        </w:rPr>
        <w:t>működéshez szükséges dologi</w:t>
      </w:r>
      <w:r w:rsidR="00A1558E" w:rsidRPr="00627FB5">
        <w:rPr>
          <w:rFonts w:ascii="Calibri" w:hAnsi="Calibri" w:cs="Calibri"/>
          <w:sz w:val="22"/>
          <w:szCs w:val="22"/>
        </w:rPr>
        <w:t xml:space="preserve"> kiadások </w:t>
      </w:r>
      <w:r w:rsidR="000422E8" w:rsidRPr="00627FB5">
        <w:rPr>
          <w:rFonts w:ascii="Calibri" w:hAnsi="Calibri" w:cs="Calibri"/>
          <w:sz w:val="22"/>
          <w:szCs w:val="22"/>
        </w:rPr>
        <w:t>fedez</w:t>
      </w:r>
      <w:r w:rsidR="006E0FE6" w:rsidRPr="00627FB5">
        <w:rPr>
          <w:rFonts w:ascii="Calibri" w:hAnsi="Calibri" w:cs="Calibri"/>
          <w:sz w:val="22"/>
          <w:szCs w:val="22"/>
        </w:rPr>
        <w:t>e</w:t>
      </w:r>
      <w:r w:rsidR="000422E8" w:rsidRPr="00627FB5">
        <w:rPr>
          <w:rFonts w:ascii="Calibri" w:hAnsi="Calibri" w:cs="Calibri"/>
          <w:sz w:val="22"/>
          <w:szCs w:val="22"/>
        </w:rPr>
        <w:t>tére</w:t>
      </w:r>
      <w:r w:rsidR="00A1558E" w:rsidRPr="00627FB5">
        <w:rPr>
          <w:rFonts w:ascii="Calibri" w:hAnsi="Calibri" w:cs="Calibri"/>
          <w:sz w:val="22"/>
          <w:szCs w:val="22"/>
        </w:rPr>
        <w:t xml:space="preserve"> szolgál. </w:t>
      </w:r>
    </w:p>
    <w:p w14:paraId="0434EC40" w14:textId="77777777" w:rsidR="00A1558E" w:rsidRDefault="00A1558E" w:rsidP="00C83D63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  <w:r w:rsidRPr="00627FB5">
        <w:rPr>
          <w:rFonts w:ascii="Calibri" w:hAnsi="Calibri" w:cs="Calibri"/>
          <w:sz w:val="22"/>
          <w:szCs w:val="22"/>
        </w:rPr>
        <w:t xml:space="preserve">A személyi juttatások és a munkaadókat terhelő járulékok előirányzatának várható maradvány összege átcsoportosításra kerül </w:t>
      </w:r>
      <w:r w:rsidR="00627FB5" w:rsidRPr="00627FB5">
        <w:rPr>
          <w:rFonts w:ascii="Calibri" w:hAnsi="Calibri" w:cs="Calibri"/>
          <w:sz w:val="22"/>
          <w:szCs w:val="22"/>
        </w:rPr>
        <w:t>a felújítások előirányzatára</w:t>
      </w:r>
      <w:r w:rsidR="00974090">
        <w:rPr>
          <w:rFonts w:ascii="Calibri" w:hAnsi="Calibri" w:cs="Calibri"/>
          <w:sz w:val="22"/>
          <w:szCs w:val="22"/>
        </w:rPr>
        <w:t xml:space="preserve"> (28.324 eFt)</w:t>
      </w:r>
      <w:r w:rsidR="00627FB5" w:rsidRPr="00627FB5">
        <w:rPr>
          <w:rFonts w:ascii="Calibri" w:hAnsi="Calibri" w:cs="Calibri"/>
          <w:sz w:val="22"/>
          <w:szCs w:val="22"/>
        </w:rPr>
        <w:t xml:space="preserve">, </w:t>
      </w:r>
      <w:r w:rsidR="0049570B">
        <w:rPr>
          <w:rFonts w:ascii="Calibri" w:hAnsi="Calibri" w:cs="Calibri"/>
          <w:sz w:val="22"/>
          <w:szCs w:val="22"/>
        </w:rPr>
        <w:t xml:space="preserve">mivel </w:t>
      </w:r>
      <w:r w:rsidR="00627FB5" w:rsidRPr="00627FB5">
        <w:rPr>
          <w:rFonts w:ascii="Calibri" w:hAnsi="Calibri" w:cs="Calibri"/>
          <w:sz w:val="22"/>
          <w:szCs w:val="22"/>
        </w:rPr>
        <w:t xml:space="preserve">a Családok Átmeneti Otthonában a leromlott állapotú lakások elektromos hálózatának felújítása (8 lakás esetében) vált szükségessé, illetve a csőtőrések megelőzését 3 lakásban kell </w:t>
      </w:r>
      <w:r w:rsidR="00627FB5" w:rsidRPr="00974090">
        <w:rPr>
          <w:rFonts w:ascii="Calibri" w:hAnsi="Calibri" w:cs="Calibri"/>
          <w:sz w:val="22"/>
          <w:szCs w:val="22"/>
        </w:rPr>
        <w:t xml:space="preserve">biztosítani. </w:t>
      </w:r>
    </w:p>
    <w:p w14:paraId="7D580333" w14:textId="77777777" w:rsidR="00A1558E" w:rsidRDefault="00A1558E" w:rsidP="00C83D63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47FC552" w14:textId="77777777" w:rsidR="00974090" w:rsidRPr="002C2684" w:rsidRDefault="00974090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2C2684">
        <w:rPr>
          <w:rFonts w:ascii="Calibri" w:hAnsi="Calibri" w:cs="Calibri"/>
          <w:sz w:val="22"/>
          <w:szCs w:val="22"/>
        </w:rPr>
        <w:t xml:space="preserve">A Szombathelyi Egészségügyi és Kulturális Intézmények Gazdasági Ellátó Szervezet többletbevétele </w:t>
      </w:r>
      <w:r w:rsidR="000C0010" w:rsidRPr="002C2684">
        <w:rPr>
          <w:rFonts w:ascii="Calibri" w:hAnsi="Calibri" w:cs="Calibri"/>
          <w:sz w:val="22"/>
          <w:szCs w:val="22"/>
        </w:rPr>
        <w:t xml:space="preserve">elsődlegesen a közvetített szolgáltatások ellenértékéből (egészségügyi alapellátáshoz kapcsolódóan a háziorvosok és fogorvosok által térített) származik, felhasználása a dologi kiadások előirányzatain történik. </w:t>
      </w:r>
    </w:p>
    <w:p w14:paraId="24C1B621" w14:textId="77777777" w:rsidR="000C0010" w:rsidRPr="002C2684" w:rsidRDefault="000C0010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2C2684">
        <w:rPr>
          <w:rFonts w:ascii="Calibri" w:hAnsi="Calibri" w:cs="Calibri"/>
          <w:sz w:val="22"/>
          <w:szCs w:val="22"/>
        </w:rPr>
        <w:t xml:space="preserve">Működési célú támogatás államháztartáson belülről az Egészségfejlesztési Iroda szakmai feladatainak működési támogatására a Belügyminisztérium Országos Kórházi Főigazgatósága 25.200 eFt-ot biztosított.  </w:t>
      </w:r>
    </w:p>
    <w:p w14:paraId="3674D393" w14:textId="77777777" w:rsidR="000C0010" w:rsidRPr="00950B59" w:rsidRDefault="00950B59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950B59">
        <w:rPr>
          <w:rFonts w:ascii="Calibri" w:hAnsi="Calibri" w:cs="Calibri"/>
          <w:sz w:val="22"/>
          <w:szCs w:val="22"/>
        </w:rPr>
        <w:t xml:space="preserve">Előirányzat átcsoportosítás történt a beruházási kiadásokról 5.700 eFt összegben, a dologi kiadásokról pedig 23.600 eFt összegben a felújítások kiadási előirányzatára. </w:t>
      </w:r>
      <w:r w:rsidR="00766905">
        <w:rPr>
          <w:rFonts w:ascii="Calibri" w:hAnsi="Calibri" w:cs="Calibri"/>
          <w:sz w:val="22"/>
          <w:szCs w:val="22"/>
        </w:rPr>
        <w:t xml:space="preserve">Az átcsoportosítás az alábbi felújítások megvalósítása miatt vált szükségesés: Rumi u. rendelőben gázkazán csere, Szűrcsapó u. rendelőben álmennyezet kialakítása történt meg a fűtési terület csökkentése érdekében, valamint energia takarékos ledes fényforrás került beépítésre, a Deák F. u. rendelőben pedig a gyermekorvosi rendelők átalakítása történt meg. </w:t>
      </w:r>
    </w:p>
    <w:p w14:paraId="3AE58219" w14:textId="77777777" w:rsidR="000C0010" w:rsidRPr="00950B59" w:rsidRDefault="000C0010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1BCCECE" w14:textId="77777777" w:rsidR="007462CC" w:rsidRPr="007462CC" w:rsidRDefault="0073786D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462CC">
        <w:rPr>
          <w:rFonts w:ascii="Calibri" w:hAnsi="Calibri" w:cs="Calibri"/>
          <w:sz w:val="22"/>
          <w:szCs w:val="22"/>
        </w:rPr>
        <w:t>Az E</w:t>
      </w:r>
      <w:r w:rsidR="00EC1EEE" w:rsidRPr="007462CC">
        <w:rPr>
          <w:rFonts w:ascii="Calibri" w:hAnsi="Calibri" w:cs="Calibri"/>
          <w:sz w:val="22"/>
          <w:szCs w:val="22"/>
        </w:rPr>
        <w:t>gyesített Bölcsődei I</w:t>
      </w:r>
      <w:r w:rsidRPr="007462CC">
        <w:rPr>
          <w:rFonts w:ascii="Calibri" w:hAnsi="Calibri" w:cs="Calibri"/>
          <w:sz w:val="22"/>
          <w:szCs w:val="22"/>
        </w:rPr>
        <w:t xml:space="preserve">ntézmény </w:t>
      </w:r>
      <w:r w:rsidR="007462CC" w:rsidRPr="007462CC">
        <w:rPr>
          <w:rFonts w:ascii="Calibri" w:hAnsi="Calibri" w:cs="Calibri"/>
          <w:sz w:val="22"/>
          <w:szCs w:val="22"/>
        </w:rPr>
        <w:t>a vidéki gyermekek után kiszámlázott alapellátás többletbevételét illetve az ellátottak által fizetett térítési díj többletét emelte be (19.400 eFt) és 5.849</w:t>
      </w:r>
      <w:r w:rsidRPr="007462CC">
        <w:rPr>
          <w:rFonts w:ascii="Calibri" w:hAnsi="Calibri" w:cs="Calibri"/>
          <w:sz w:val="22"/>
          <w:szCs w:val="22"/>
        </w:rPr>
        <w:t xml:space="preserve"> e Ft </w:t>
      </w:r>
      <w:r w:rsidR="007462CC" w:rsidRPr="007462CC">
        <w:rPr>
          <w:rFonts w:ascii="Calibri" w:hAnsi="Calibri" w:cs="Calibri"/>
          <w:sz w:val="22"/>
          <w:szCs w:val="22"/>
        </w:rPr>
        <w:t>s</w:t>
      </w:r>
      <w:r w:rsidRPr="007462CC">
        <w:rPr>
          <w:rFonts w:ascii="Calibri" w:hAnsi="Calibri" w:cs="Calibri"/>
          <w:sz w:val="22"/>
          <w:szCs w:val="22"/>
        </w:rPr>
        <w:t xml:space="preserve">zakképzési hozzájárulást kapott tanulószerződéssel rendelkező tanulók béréhez. </w:t>
      </w:r>
    </w:p>
    <w:p w14:paraId="13566086" w14:textId="77777777" w:rsidR="007462CC" w:rsidRPr="007462CC" w:rsidRDefault="007462CC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462CC">
        <w:rPr>
          <w:rFonts w:ascii="Calibri" w:hAnsi="Calibri" w:cs="Calibri"/>
          <w:sz w:val="22"/>
          <w:szCs w:val="22"/>
        </w:rPr>
        <w:t>A többletbevétel beemelése dologi, és felhalmozási kiadásokra történt (élelmiszer vásárlás, favágás, to</w:t>
      </w:r>
      <w:r w:rsidR="00805B8B">
        <w:rPr>
          <w:rFonts w:ascii="Calibri" w:hAnsi="Calibri" w:cs="Calibri"/>
          <w:sz w:val="22"/>
          <w:szCs w:val="22"/>
        </w:rPr>
        <w:t>r</w:t>
      </w:r>
      <w:r w:rsidRPr="007462CC">
        <w:rPr>
          <w:rFonts w:ascii="Calibri" w:hAnsi="Calibri" w:cs="Calibri"/>
          <w:sz w:val="22"/>
          <w:szCs w:val="22"/>
        </w:rPr>
        <w:t>naszoba kialakítás, világítás csere ledes lámpákra, gyermekfürdő felújítás, ablakok vásárlás-cseréje, számítógép beszerzés, fénymásoló gép beszerzés, ipari mosógép-szárítógép beszerzése, stb…..).</w:t>
      </w:r>
    </w:p>
    <w:p w14:paraId="73C1A42E" w14:textId="77777777" w:rsidR="007462CC" w:rsidRPr="007462CC" w:rsidRDefault="007462CC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462CC">
        <w:rPr>
          <w:rFonts w:ascii="Calibri" w:hAnsi="Calibri" w:cs="Calibri"/>
          <w:sz w:val="22"/>
          <w:szCs w:val="22"/>
        </w:rPr>
        <w:t xml:space="preserve">Kiadási előirányzat átcsoportosítás a várható maradványok terhére történt. Tervezett felhasználása (17.535 eFt): Napraforgó Bölcsőde lapostető szerkezet hő és vízszigetelése. </w:t>
      </w:r>
    </w:p>
    <w:p w14:paraId="66C47F0E" w14:textId="77777777" w:rsidR="007462CC" w:rsidRDefault="007462CC" w:rsidP="00774D28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B4B3027" w14:textId="77777777" w:rsidR="007462CC" w:rsidRPr="009C367C" w:rsidRDefault="007462CC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9C367C">
        <w:rPr>
          <w:rFonts w:ascii="Calibri" w:hAnsi="Calibri" w:cs="Calibri"/>
          <w:sz w:val="22"/>
          <w:szCs w:val="22"/>
        </w:rPr>
        <w:t>A Vásárcsarnok a 271/2023. (IX.28.) Kgy.számú határozat alapján az önkormányzat</w:t>
      </w:r>
      <w:r w:rsidR="009C367C" w:rsidRPr="009C367C">
        <w:rPr>
          <w:rFonts w:ascii="Calibri" w:hAnsi="Calibri" w:cs="Calibri"/>
          <w:sz w:val="22"/>
          <w:szCs w:val="22"/>
        </w:rPr>
        <w:t>tal</w:t>
      </w:r>
      <w:r w:rsidRPr="009C367C">
        <w:rPr>
          <w:rFonts w:ascii="Calibri" w:hAnsi="Calibri" w:cs="Calibri"/>
          <w:sz w:val="22"/>
          <w:szCs w:val="22"/>
        </w:rPr>
        <w:t xml:space="preserve"> kapott támogatás címén rezsi kompenzációban részesül, így ehhez igazodóan indokolt a bevételi és kiadási előirányzatainak rendezése (intézményi működési bevétel és dologi kiadás csökkenés). </w:t>
      </w:r>
    </w:p>
    <w:p w14:paraId="2E830982" w14:textId="77777777" w:rsidR="007462CC" w:rsidRPr="00092225" w:rsidRDefault="00092225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092225">
        <w:rPr>
          <w:rFonts w:ascii="Calibri" w:hAnsi="Calibri" w:cs="Calibri"/>
          <w:sz w:val="22"/>
          <w:szCs w:val="22"/>
        </w:rPr>
        <w:t>Kiadási előirányzat átcsoportosítás vált szükségessé a betöltetlen takarítói álláshelyek miatt a feladat ellátás érdekében (személyi juttatások és járulékainak zár</w:t>
      </w:r>
      <w:r>
        <w:rPr>
          <w:rFonts w:ascii="Calibri" w:hAnsi="Calibri" w:cs="Calibri"/>
          <w:sz w:val="22"/>
          <w:szCs w:val="22"/>
        </w:rPr>
        <w:t>o</w:t>
      </w:r>
      <w:r w:rsidRPr="00092225">
        <w:rPr>
          <w:rFonts w:ascii="Calibri" w:hAnsi="Calibri" w:cs="Calibri"/>
          <w:sz w:val="22"/>
          <w:szCs w:val="22"/>
        </w:rPr>
        <w:t xml:space="preserve">lása a dologi kiadások előirányzatának pedig a megemelése). </w:t>
      </w:r>
    </w:p>
    <w:p w14:paraId="741082AF" w14:textId="77777777" w:rsidR="00370ABA" w:rsidRPr="00730CB0" w:rsidRDefault="00370ABA" w:rsidP="00774D28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8727833" w14:textId="77777777" w:rsidR="0073786D" w:rsidRDefault="0073786D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0B26A7">
        <w:rPr>
          <w:rFonts w:ascii="Calibri" w:hAnsi="Calibri" w:cs="Calibri"/>
          <w:sz w:val="22"/>
          <w:szCs w:val="22"/>
        </w:rPr>
        <w:t>A Polgármesteri Hivatal</w:t>
      </w:r>
      <w:r w:rsidR="00B84CBA" w:rsidRPr="000B26A7">
        <w:rPr>
          <w:rFonts w:ascii="Calibri" w:hAnsi="Calibri" w:cs="Calibri"/>
          <w:sz w:val="22"/>
          <w:szCs w:val="22"/>
        </w:rPr>
        <w:t xml:space="preserve"> </w:t>
      </w:r>
      <w:r w:rsidR="000B26A7" w:rsidRPr="000B26A7">
        <w:rPr>
          <w:rFonts w:ascii="Calibri" w:hAnsi="Calibri" w:cs="Calibri"/>
          <w:sz w:val="22"/>
          <w:szCs w:val="22"/>
        </w:rPr>
        <w:t>11.987</w:t>
      </w:r>
      <w:r w:rsidR="00B84CBA" w:rsidRPr="000B26A7">
        <w:rPr>
          <w:rFonts w:ascii="Calibri" w:hAnsi="Calibri" w:cs="Calibri"/>
          <w:sz w:val="22"/>
          <w:szCs w:val="22"/>
        </w:rPr>
        <w:t xml:space="preserve"> e Ft </w:t>
      </w:r>
      <w:r w:rsidR="00EC1EEE" w:rsidRPr="000B26A7">
        <w:rPr>
          <w:rFonts w:ascii="Calibri" w:hAnsi="Calibri" w:cs="Calibri"/>
          <w:sz w:val="22"/>
          <w:szCs w:val="22"/>
        </w:rPr>
        <w:t>működési b</w:t>
      </w:r>
      <w:r w:rsidR="00B84CBA" w:rsidRPr="000B26A7">
        <w:rPr>
          <w:rFonts w:ascii="Calibri" w:hAnsi="Calibri" w:cs="Calibri"/>
          <w:sz w:val="22"/>
          <w:szCs w:val="22"/>
        </w:rPr>
        <w:t>evételi többlete a</w:t>
      </w:r>
      <w:r w:rsidR="00EC1EEE" w:rsidRPr="000B26A7">
        <w:rPr>
          <w:rFonts w:ascii="Calibri" w:hAnsi="Calibri" w:cs="Calibri"/>
          <w:sz w:val="22"/>
          <w:szCs w:val="22"/>
        </w:rPr>
        <w:t xml:space="preserve"> </w:t>
      </w:r>
      <w:r w:rsidR="000B26A7" w:rsidRPr="000B26A7">
        <w:rPr>
          <w:rFonts w:ascii="Calibri" w:hAnsi="Calibri" w:cs="Calibri"/>
          <w:sz w:val="22"/>
          <w:szCs w:val="22"/>
        </w:rPr>
        <w:t>rendezvényszervezés bevételéből</w:t>
      </w:r>
      <w:r w:rsidR="00EC1EEE" w:rsidRPr="000B26A7">
        <w:rPr>
          <w:rFonts w:ascii="Calibri" w:hAnsi="Calibri" w:cs="Calibri"/>
          <w:sz w:val="22"/>
          <w:szCs w:val="22"/>
        </w:rPr>
        <w:t>,</w:t>
      </w:r>
      <w:r w:rsidR="000B26A7" w:rsidRPr="000B26A7">
        <w:rPr>
          <w:rFonts w:ascii="Calibri" w:hAnsi="Calibri" w:cs="Calibri"/>
          <w:sz w:val="22"/>
          <w:szCs w:val="22"/>
        </w:rPr>
        <w:t xml:space="preserve"> ebrendészeti telep bevételéből, biztosító kártérítéséből, bérleti díjbevételből</w:t>
      </w:r>
      <w:r w:rsidR="00EC1EEE" w:rsidRPr="000B26A7">
        <w:rPr>
          <w:rFonts w:ascii="Calibri" w:hAnsi="Calibri" w:cs="Calibri"/>
          <w:sz w:val="22"/>
          <w:szCs w:val="22"/>
        </w:rPr>
        <w:t xml:space="preserve"> </w:t>
      </w:r>
      <w:r w:rsidR="000B26A7" w:rsidRPr="000B26A7">
        <w:rPr>
          <w:rFonts w:ascii="Calibri" w:hAnsi="Calibri" w:cs="Calibri"/>
          <w:sz w:val="22"/>
          <w:szCs w:val="22"/>
        </w:rPr>
        <w:t xml:space="preserve">stb. </w:t>
      </w:r>
      <w:r w:rsidR="00F710B1" w:rsidRPr="000B26A7">
        <w:rPr>
          <w:rFonts w:ascii="Calibri" w:hAnsi="Calibri" w:cs="Calibri"/>
          <w:sz w:val="22"/>
          <w:szCs w:val="22"/>
        </w:rPr>
        <w:t>tevődik össze</w:t>
      </w:r>
      <w:r w:rsidR="000B26A7" w:rsidRPr="000B26A7">
        <w:rPr>
          <w:rFonts w:ascii="Calibri" w:hAnsi="Calibri" w:cs="Calibri"/>
          <w:sz w:val="22"/>
          <w:szCs w:val="22"/>
        </w:rPr>
        <w:t xml:space="preserve">. Mezőőri szolgálat működéséhez kapott támogatásban és a diákmunka után járó bértámogatásában is részesült a Hivatal. A fenti </w:t>
      </w:r>
      <w:r w:rsidR="00EC1EEE" w:rsidRPr="000B26A7">
        <w:rPr>
          <w:rFonts w:ascii="Calibri" w:hAnsi="Calibri" w:cs="Calibri"/>
          <w:sz w:val="22"/>
          <w:szCs w:val="22"/>
        </w:rPr>
        <w:t>összegek</w:t>
      </w:r>
      <w:r w:rsidR="000B26A7" w:rsidRPr="000B26A7">
        <w:rPr>
          <w:rFonts w:ascii="Calibri" w:hAnsi="Calibri" w:cs="Calibri"/>
          <w:sz w:val="22"/>
          <w:szCs w:val="22"/>
        </w:rPr>
        <w:t>kel</w:t>
      </w:r>
      <w:r w:rsidR="00EC1EEE" w:rsidRPr="000B26A7">
        <w:rPr>
          <w:rFonts w:ascii="Calibri" w:hAnsi="Calibri" w:cs="Calibri"/>
          <w:sz w:val="22"/>
          <w:szCs w:val="22"/>
        </w:rPr>
        <w:t xml:space="preserve"> a kiadási előirányzatok is megemelésre kerültek a</w:t>
      </w:r>
      <w:r w:rsidR="00D837B7">
        <w:rPr>
          <w:rFonts w:ascii="Calibri" w:hAnsi="Calibri" w:cs="Calibri"/>
          <w:sz w:val="22"/>
          <w:szCs w:val="22"/>
        </w:rPr>
        <w:t>z intézmény</w:t>
      </w:r>
      <w:r w:rsidR="00EC1EEE" w:rsidRPr="000B26A7">
        <w:rPr>
          <w:rFonts w:ascii="Calibri" w:hAnsi="Calibri" w:cs="Calibri"/>
          <w:sz w:val="22"/>
          <w:szCs w:val="22"/>
        </w:rPr>
        <w:t xml:space="preserve"> költségvetésében.</w:t>
      </w:r>
    </w:p>
    <w:p w14:paraId="1A7A037D" w14:textId="77777777" w:rsidR="00774D28" w:rsidRDefault="002F391E" w:rsidP="00774D28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5E48669" w14:textId="77777777" w:rsidR="00500B0C" w:rsidRPr="00F14DC1" w:rsidRDefault="00500B0C" w:rsidP="009003C4">
      <w:pPr>
        <w:ind w:left="426" w:hanging="284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sz w:val="22"/>
          <w:szCs w:val="22"/>
        </w:rPr>
        <w:t xml:space="preserve">     </w:t>
      </w:r>
      <w:r w:rsidRPr="009003C4">
        <w:rPr>
          <w:rFonts w:ascii="Calibri" w:hAnsi="Calibri" w:cs="Calibri"/>
          <w:b/>
          <w:bCs/>
          <w:i/>
          <w:iCs/>
          <w:sz w:val="22"/>
          <w:szCs w:val="22"/>
        </w:rPr>
        <w:t>b)</w:t>
      </w:r>
      <w:r w:rsidR="00BF5DCF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003C4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B6248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3B05463B" w14:textId="77777777" w:rsidR="00500B0C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54642857" w14:textId="77777777" w:rsidR="00EB7AAE" w:rsidRPr="00F14DC1" w:rsidRDefault="00EB7AAE" w:rsidP="00500B0C">
      <w:pPr>
        <w:jc w:val="both"/>
        <w:rPr>
          <w:rFonts w:ascii="Calibri" w:hAnsi="Calibri" w:cs="Calibri"/>
          <w:sz w:val="22"/>
          <w:szCs w:val="22"/>
        </w:rPr>
      </w:pPr>
    </w:p>
    <w:p w14:paraId="216C6275" w14:textId="77777777" w:rsidR="00C44434" w:rsidRDefault="004B376B" w:rsidP="004B376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c)</w:t>
      </w:r>
      <w:r w:rsidR="00500B0C" w:rsidRPr="00F14DC1">
        <w:rPr>
          <w:rFonts w:ascii="Calibri" w:hAnsi="Calibri" w:cs="Calibri"/>
          <w:b/>
          <w:i/>
          <w:sz w:val="22"/>
          <w:szCs w:val="22"/>
        </w:rPr>
        <w:t>A</w:t>
      </w:r>
      <w:r w:rsidR="00500B0C" w:rsidRPr="00F14DC1">
        <w:rPr>
          <w:rFonts w:ascii="Calibri" w:hAnsi="Calibri" w:cs="Calibri"/>
          <w:sz w:val="22"/>
          <w:szCs w:val="22"/>
        </w:rPr>
        <w:t xml:space="preserve"> </w:t>
      </w:r>
      <w:r w:rsidR="00500B0C" w:rsidRPr="00F14DC1">
        <w:rPr>
          <w:rFonts w:ascii="Calibri" w:hAnsi="Calibri" w:cs="Calibri"/>
          <w:b/>
          <w:i/>
          <w:sz w:val="22"/>
          <w:szCs w:val="22"/>
          <w:u w:val="single"/>
        </w:rPr>
        <w:t>működési és felhalmozási célú államháztartáson belülről kapott támogatások, és a működési és felhalmozási célú átvett pénzeszközök bevételei</w:t>
      </w:r>
      <w:r w:rsidR="00500B0C" w:rsidRPr="00F14DC1">
        <w:rPr>
          <w:rFonts w:ascii="Calibri" w:hAnsi="Calibri" w:cs="Calibri"/>
          <w:sz w:val="22"/>
          <w:szCs w:val="22"/>
        </w:rPr>
        <w:t xml:space="preserve"> jellegéből adódóan meghatározott célú kiadások teljesítésének fedezetéül szolgálnak. A működési célú előirányzat </w:t>
      </w:r>
      <w:r>
        <w:rPr>
          <w:rFonts w:ascii="Calibri" w:hAnsi="Calibri" w:cs="Calibri"/>
          <w:sz w:val="22"/>
          <w:szCs w:val="22"/>
        </w:rPr>
        <w:t>27.631</w:t>
      </w:r>
      <w:r w:rsidR="00500B0C" w:rsidRPr="00F14DC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95580">
        <w:rPr>
          <w:rFonts w:ascii="Calibri" w:hAnsi="Calibri" w:cs="Calibri"/>
          <w:sz w:val="22"/>
          <w:szCs w:val="22"/>
        </w:rPr>
        <w:t>eFt összeggel</w:t>
      </w:r>
      <w:r>
        <w:rPr>
          <w:rFonts w:ascii="Calibri" w:hAnsi="Calibri" w:cs="Calibri"/>
          <w:sz w:val="22"/>
          <w:szCs w:val="22"/>
        </w:rPr>
        <w:t xml:space="preserve"> a felhalmozási célú előirányzat pedig </w:t>
      </w:r>
      <w:r w:rsidRPr="00B96F3D">
        <w:rPr>
          <w:rFonts w:ascii="Calibri" w:hAnsi="Calibri" w:cs="Calibri"/>
          <w:sz w:val="22"/>
          <w:szCs w:val="22"/>
        </w:rPr>
        <w:t>262.</w:t>
      </w:r>
      <w:r w:rsidR="00B96F3D" w:rsidRPr="00B96F3D">
        <w:rPr>
          <w:rFonts w:ascii="Calibri" w:hAnsi="Calibri" w:cs="Calibri"/>
          <w:sz w:val="22"/>
          <w:szCs w:val="22"/>
        </w:rPr>
        <w:t>622</w:t>
      </w:r>
      <w:r w:rsidRPr="00B96F3D">
        <w:rPr>
          <w:rFonts w:ascii="Calibri" w:hAnsi="Calibri" w:cs="Calibri"/>
          <w:sz w:val="22"/>
          <w:szCs w:val="22"/>
        </w:rPr>
        <w:t xml:space="preserve"> eFt</w:t>
      </w:r>
      <w:r w:rsidR="00D95580">
        <w:rPr>
          <w:rFonts w:ascii="Calibri" w:hAnsi="Calibri" w:cs="Calibri"/>
          <w:sz w:val="22"/>
          <w:szCs w:val="22"/>
        </w:rPr>
        <w:t xml:space="preserve"> növekedett.</w:t>
      </w:r>
      <w:r w:rsidR="00F65754">
        <w:rPr>
          <w:rFonts w:ascii="Calibri" w:hAnsi="Calibri" w:cs="Calibri"/>
          <w:sz w:val="22"/>
          <w:szCs w:val="22"/>
        </w:rPr>
        <w:t xml:space="preserve"> </w:t>
      </w:r>
    </w:p>
    <w:p w14:paraId="5609D59B" w14:textId="77777777" w:rsidR="00C44434" w:rsidRDefault="00C44434" w:rsidP="00C44434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2547080" w14:textId="77777777" w:rsidR="002008F3" w:rsidRDefault="00C44434" w:rsidP="00F71D8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44434">
        <w:rPr>
          <w:rFonts w:ascii="Calibri" w:hAnsi="Calibri" w:cs="Calibri"/>
          <w:sz w:val="22"/>
          <w:szCs w:val="22"/>
        </w:rPr>
        <w:t>A Honvédelmi Minisztériumtól – támogatói okirat alapján – további 26.741 eFt összegű támogatásban részesültünk a Szombathelyi Uszoda megnövekedett energiaköltségeinek kompenzálására. Az összeg átadásra kerül az üzemeltető VASIVÍZ Zrt. részére.</w:t>
      </w:r>
    </w:p>
    <w:p w14:paraId="0C6CCC80" w14:textId="77777777" w:rsidR="008C12F8" w:rsidRDefault="008C12F8" w:rsidP="008C12F8">
      <w:pPr>
        <w:pStyle w:val="Listaszerbekezds"/>
        <w:rPr>
          <w:rFonts w:ascii="Calibri" w:hAnsi="Calibri" w:cs="Calibri"/>
          <w:sz w:val="22"/>
          <w:szCs w:val="22"/>
        </w:rPr>
      </w:pPr>
    </w:p>
    <w:p w14:paraId="44EDF07D" w14:textId="77777777" w:rsidR="00C44434" w:rsidRDefault="00C44434" w:rsidP="0064443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Vasutas Települések Szövetségétől kapott 150 eFt összegű támogatás a „Kommunális és </w:t>
      </w:r>
      <w:r w:rsidRPr="00C44434">
        <w:rPr>
          <w:rFonts w:ascii="Calibri" w:hAnsi="Calibri" w:cs="Calibri"/>
          <w:sz w:val="22"/>
          <w:szCs w:val="22"/>
        </w:rPr>
        <w:t xml:space="preserve">Kommunális, városüzemeltetési és környezetvédelmi kiadások  </w:t>
      </w:r>
      <w:r>
        <w:rPr>
          <w:rFonts w:ascii="Calibri" w:hAnsi="Calibri" w:cs="Calibri"/>
          <w:sz w:val="22"/>
          <w:szCs w:val="22"/>
        </w:rPr>
        <w:t xml:space="preserve">- Egyéb kiadások” tételsoron került elszámolásra, ezért a kiadási előirányzat megemelése is megtörtént. </w:t>
      </w:r>
    </w:p>
    <w:p w14:paraId="772FC8C5" w14:textId="77777777" w:rsidR="00C44434" w:rsidRDefault="00C44434" w:rsidP="00C44434">
      <w:pPr>
        <w:pStyle w:val="Listaszerbekezds"/>
        <w:rPr>
          <w:rFonts w:ascii="Calibri" w:hAnsi="Calibri" w:cs="Calibri"/>
          <w:sz w:val="22"/>
          <w:szCs w:val="22"/>
        </w:rPr>
      </w:pPr>
    </w:p>
    <w:p w14:paraId="7F3613D7" w14:textId="77777777" w:rsidR="00C44434" w:rsidRDefault="00C44434" w:rsidP="0064443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„Utcaművészeti programok megrendezésének támogatására” 200 eFt összeg, a „Bloomsday nap megrendezésének támogatására” pedig 540 eFt összeg érkezett. A többletbevétel a programokhoz kapcsolódó kiadásokra biztosított fedezetet, melyek az „Egyéb kulturális kiadások” költségvetési tételsoron kerültek elszámolásra, így ezen előirányzat összegének megemelése történt meg.  </w:t>
      </w:r>
    </w:p>
    <w:p w14:paraId="58A41D0F" w14:textId="77777777" w:rsidR="009D2427" w:rsidRDefault="009D2427" w:rsidP="009D2427">
      <w:pPr>
        <w:pStyle w:val="Listaszerbekezds"/>
        <w:rPr>
          <w:rFonts w:ascii="Calibri" w:hAnsi="Calibri" w:cs="Calibri"/>
          <w:sz w:val="22"/>
          <w:szCs w:val="22"/>
        </w:rPr>
      </w:pPr>
    </w:p>
    <w:p w14:paraId="2AFBAF54" w14:textId="77777777" w:rsidR="009D2427" w:rsidRDefault="00061B49" w:rsidP="0064443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Pénzügyi megállapodás alapján a „Vízmellék u. útfejlesztési hozzájárulás” címén 17.950 eFt összeg folyt be önkormányzatunk számlájára. Ezen összegből a fejlesztéshez kapcsolódó kiadási előirányzat – Járdafenntartási kiadások – került megemelésre. </w:t>
      </w:r>
    </w:p>
    <w:p w14:paraId="1481EC0E" w14:textId="77777777" w:rsidR="009A267E" w:rsidRDefault="009A267E" w:rsidP="009A267E">
      <w:pPr>
        <w:pStyle w:val="Listaszerbekezds"/>
        <w:rPr>
          <w:rFonts w:ascii="Calibri" w:hAnsi="Calibri" w:cs="Calibri"/>
          <w:sz w:val="22"/>
          <w:szCs w:val="22"/>
        </w:rPr>
      </w:pPr>
    </w:p>
    <w:p w14:paraId="574993F3" w14:textId="77777777" w:rsidR="009A267E" w:rsidRPr="00B96F3D" w:rsidRDefault="00447FE0" w:rsidP="0064443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Megtörtént az MVP Sárdi ér út elnevezésű projekt szakmai és pénzügyi beszámolójának </w:t>
      </w:r>
      <w:r w:rsidRPr="00B96F3D">
        <w:rPr>
          <w:rFonts w:ascii="Calibri" w:hAnsi="Calibri" w:cs="Calibri"/>
          <w:sz w:val="22"/>
          <w:szCs w:val="22"/>
        </w:rPr>
        <w:t>benyújtása. A fel nem használt támogatási összeg 235.232 eFt visszafizetésre került</w:t>
      </w:r>
      <w:r w:rsidR="00805B8B" w:rsidRPr="00B96F3D">
        <w:rPr>
          <w:rFonts w:ascii="Calibri" w:hAnsi="Calibri" w:cs="Calibri"/>
          <w:sz w:val="22"/>
          <w:szCs w:val="22"/>
        </w:rPr>
        <w:t>, amely összeget a SZOVA Zrt</w:t>
      </w:r>
      <w:r w:rsidRPr="00B96F3D">
        <w:rPr>
          <w:rFonts w:ascii="Calibri" w:hAnsi="Calibri" w:cs="Calibri"/>
          <w:sz w:val="22"/>
          <w:szCs w:val="22"/>
        </w:rPr>
        <w:t>.</w:t>
      </w:r>
      <w:r w:rsidR="00805B8B" w:rsidRPr="00B96F3D">
        <w:rPr>
          <w:rFonts w:ascii="Calibri" w:hAnsi="Calibri" w:cs="Calibri"/>
          <w:sz w:val="22"/>
          <w:szCs w:val="22"/>
        </w:rPr>
        <w:t xml:space="preserve"> utalt át önkormányzatunk számlájára.</w:t>
      </w:r>
      <w:r w:rsidRPr="00B96F3D">
        <w:rPr>
          <w:rFonts w:ascii="Calibri" w:hAnsi="Calibri" w:cs="Calibri"/>
          <w:sz w:val="22"/>
          <w:szCs w:val="22"/>
        </w:rPr>
        <w:t xml:space="preserve"> Ennek megfelelően a bevételi és kiadási elő</w:t>
      </w:r>
      <w:r w:rsidR="00805B8B" w:rsidRPr="00B96F3D">
        <w:rPr>
          <w:rFonts w:ascii="Calibri" w:hAnsi="Calibri" w:cs="Calibri"/>
          <w:sz w:val="22"/>
          <w:szCs w:val="22"/>
        </w:rPr>
        <w:t>ir</w:t>
      </w:r>
      <w:r w:rsidRPr="00B96F3D">
        <w:rPr>
          <w:rFonts w:ascii="Calibri" w:hAnsi="Calibri" w:cs="Calibri"/>
          <w:sz w:val="22"/>
          <w:szCs w:val="22"/>
        </w:rPr>
        <w:t xml:space="preserve">ányzatok módosítása megtörtént. </w:t>
      </w:r>
    </w:p>
    <w:p w14:paraId="3CBDBA54" w14:textId="77777777" w:rsidR="00447FE0" w:rsidRDefault="00447FE0" w:rsidP="00447FE0">
      <w:pPr>
        <w:pStyle w:val="Listaszerbekezds"/>
        <w:rPr>
          <w:rFonts w:ascii="Calibri" w:hAnsi="Calibri" w:cs="Calibri"/>
          <w:sz w:val="22"/>
          <w:szCs w:val="22"/>
        </w:rPr>
      </w:pPr>
    </w:p>
    <w:p w14:paraId="55A1F551" w14:textId="77777777" w:rsidR="007B68DF" w:rsidRDefault="009D2427" w:rsidP="009D242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„</w:t>
      </w:r>
      <w:r w:rsidRPr="009D2427">
        <w:rPr>
          <w:rFonts w:ascii="Calibri" w:hAnsi="Calibri" w:cs="Calibri"/>
          <w:sz w:val="22"/>
          <w:szCs w:val="22"/>
        </w:rPr>
        <w:t>TOP-6.4.1-15-SH1-2019-00003 Szombathely és Vép településeket összekötő kerékpárút megépítése</w:t>
      </w:r>
      <w:r>
        <w:rPr>
          <w:rFonts w:ascii="Calibri" w:hAnsi="Calibri" w:cs="Calibri"/>
          <w:sz w:val="22"/>
          <w:szCs w:val="22"/>
        </w:rPr>
        <w:t>” és a „</w:t>
      </w:r>
      <w:r w:rsidRPr="009D2427">
        <w:rPr>
          <w:rFonts w:ascii="Calibri" w:hAnsi="Calibri" w:cs="Calibri"/>
          <w:sz w:val="22"/>
          <w:szCs w:val="22"/>
        </w:rPr>
        <w:t>TOP-6.4.1-15-SH1-2019-00004 Sz</w:t>
      </w:r>
      <w:r>
        <w:rPr>
          <w:rFonts w:ascii="Calibri" w:hAnsi="Calibri" w:cs="Calibri"/>
          <w:sz w:val="22"/>
          <w:szCs w:val="22"/>
        </w:rPr>
        <w:t>ombat</w:t>
      </w:r>
      <w:r w:rsidRPr="009D2427">
        <w:rPr>
          <w:rFonts w:ascii="Calibri" w:hAnsi="Calibri" w:cs="Calibri"/>
          <w:sz w:val="22"/>
          <w:szCs w:val="22"/>
        </w:rPr>
        <w:t>hely és Balogunyom településeket összekötő kerékpárút megépítése</w:t>
      </w:r>
      <w:r>
        <w:rPr>
          <w:rFonts w:ascii="Calibri" w:hAnsi="Calibri" w:cs="Calibri"/>
          <w:sz w:val="22"/>
          <w:szCs w:val="22"/>
        </w:rPr>
        <w:t>”</w:t>
      </w:r>
      <w:r w:rsidRPr="009D242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projekthez kapcsolódó többletbevételek összege összesen </w:t>
      </w:r>
      <w:r w:rsidR="000A0C8A">
        <w:rPr>
          <w:rFonts w:ascii="Calibri" w:hAnsi="Calibri" w:cs="Calibri"/>
          <w:sz w:val="22"/>
          <w:szCs w:val="22"/>
        </w:rPr>
        <w:t>552</w:t>
      </w:r>
      <w:r>
        <w:rPr>
          <w:rFonts w:ascii="Calibri" w:hAnsi="Calibri" w:cs="Calibri"/>
          <w:sz w:val="22"/>
          <w:szCs w:val="22"/>
        </w:rPr>
        <w:t xml:space="preserve"> eFt. Ezen összeggel a „</w:t>
      </w:r>
      <w:r w:rsidRPr="009D2427">
        <w:rPr>
          <w:rFonts w:ascii="Calibri" w:hAnsi="Calibri" w:cs="Calibri"/>
          <w:sz w:val="22"/>
          <w:szCs w:val="22"/>
        </w:rPr>
        <w:t>Projektek - önerő, hozzájárulás, előkészítés</w:t>
      </w:r>
      <w:r>
        <w:rPr>
          <w:rFonts w:ascii="Calibri" w:hAnsi="Calibri" w:cs="Calibri"/>
          <w:sz w:val="22"/>
          <w:szCs w:val="22"/>
        </w:rPr>
        <w:t xml:space="preserve">” költségvetési tételsor előirányzata került megemelésre. </w:t>
      </w:r>
    </w:p>
    <w:p w14:paraId="414D053C" w14:textId="77777777" w:rsidR="00A87E1C" w:rsidRDefault="00A87E1C" w:rsidP="00A87E1C">
      <w:pPr>
        <w:pStyle w:val="Listaszerbekezds"/>
        <w:rPr>
          <w:rFonts w:ascii="Calibri" w:hAnsi="Calibri" w:cs="Calibri"/>
          <w:sz w:val="22"/>
          <w:szCs w:val="22"/>
        </w:rPr>
      </w:pPr>
    </w:p>
    <w:p w14:paraId="42CE9C59" w14:textId="77777777" w:rsidR="00A87E1C" w:rsidRPr="00C0651E" w:rsidRDefault="00A87E1C" w:rsidP="009D242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Mind a bevételi, mind a kiadási előirányzatok közé beemelésre került a „</w:t>
      </w:r>
      <w:r w:rsidRPr="00A87E1C">
        <w:rPr>
          <w:rFonts w:ascii="Calibri" w:hAnsi="Calibri" w:cs="Calibri"/>
          <w:sz w:val="22"/>
          <w:szCs w:val="22"/>
        </w:rPr>
        <w:t>EIT Urban Mobility TICER pályázat</w:t>
      </w:r>
      <w:r>
        <w:rPr>
          <w:rFonts w:ascii="Calibri" w:hAnsi="Calibri" w:cs="Calibri"/>
          <w:sz w:val="22"/>
          <w:szCs w:val="22"/>
        </w:rPr>
        <w:t>”</w:t>
      </w:r>
      <w:r w:rsidRPr="00A87E1C">
        <w:rPr>
          <w:rFonts w:ascii="Calibri" w:hAnsi="Calibri" w:cs="Calibri"/>
          <w:sz w:val="22"/>
          <w:szCs w:val="22"/>
        </w:rPr>
        <w:t xml:space="preserve"> támogatás</w:t>
      </w:r>
      <w:r>
        <w:rPr>
          <w:rFonts w:ascii="Calibri" w:hAnsi="Calibri" w:cs="Calibri"/>
          <w:sz w:val="22"/>
          <w:szCs w:val="22"/>
        </w:rPr>
        <w:t>i összege, mely 8.888 eFt.</w:t>
      </w:r>
    </w:p>
    <w:p w14:paraId="0B50DC1A" w14:textId="77777777" w:rsidR="007B68DF" w:rsidRPr="00C0651E" w:rsidRDefault="007B68DF" w:rsidP="007B68DF">
      <w:pPr>
        <w:pStyle w:val="Listaszerbekezds"/>
        <w:rPr>
          <w:rFonts w:ascii="Calibri" w:hAnsi="Calibri" w:cs="Calibri"/>
          <w:sz w:val="22"/>
          <w:szCs w:val="22"/>
        </w:rPr>
      </w:pPr>
    </w:p>
    <w:p w14:paraId="381875C9" w14:textId="77777777" w:rsidR="00500B0C" w:rsidRPr="004137CD" w:rsidRDefault="004B376B" w:rsidP="004B376B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c)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 eFt</w:t>
      </w:r>
    </w:p>
    <w:p w14:paraId="1D6B7D88" w14:textId="77777777" w:rsidR="004137CD" w:rsidRPr="00F14DC1" w:rsidRDefault="004137CD" w:rsidP="004137CD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3FBB9842" w14:textId="77777777" w:rsidR="004B376B" w:rsidRPr="00F14DC1" w:rsidRDefault="004B376B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1ACCEB41" w14:textId="77777777" w:rsidR="00500B0C" w:rsidRPr="007B68DF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d)</w:t>
      </w:r>
      <w:r w:rsidR="00BF5DCF"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7B68D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működéshez</w:t>
      </w:r>
      <w:r w:rsidR="00E43772" w:rsidRPr="007B68D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és felhalmozáshoz</w:t>
      </w:r>
      <w:r w:rsidRPr="007B68D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kapcsolódó</w:t>
      </w:r>
      <w:r w:rsidRPr="007B68DF">
        <w:rPr>
          <w:rFonts w:ascii="Calibri" w:hAnsi="Calibri" w:cs="Calibri"/>
          <w:bCs/>
          <w:iCs/>
          <w:sz w:val="22"/>
          <w:szCs w:val="22"/>
        </w:rPr>
        <w:t xml:space="preserve"> – </w:t>
      </w:r>
      <w:r w:rsidRPr="007B68DF">
        <w:rPr>
          <w:rFonts w:ascii="Calibri" w:hAnsi="Calibri" w:cs="Calibri"/>
          <w:sz w:val="22"/>
          <w:szCs w:val="22"/>
        </w:rPr>
        <w:t xml:space="preserve">jelen módosításban beemelésre kerülő -  </w:t>
      </w:r>
      <w:r w:rsidRPr="007B68D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többletbevételek</w:t>
      </w:r>
      <w:r w:rsidRPr="007B68DF">
        <w:rPr>
          <w:rFonts w:ascii="Calibri" w:hAnsi="Calibri" w:cs="Calibri"/>
          <w:sz w:val="22"/>
          <w:szCs w:val="22"/>
        </w:rPr>
        <w:t xml:space="preserve"> összege </w:t>
      </w:r>
      <w:r w:rsidR="00E43772" w:rsidRPr="007B68DF">
        <w:rPr>
          <w:rFonts w:ascii="Calibri" w:hAnsi="Calibri" w:cs="Calibri"/>
          <w:sz w:val="22"/>
          <w:szCs w:val="22"/>
        </w:rPr>
        <w:t>mind</w:t>
      </w:r>
      <w:r w:rsidRPr="007B68DF">
        <w:rPr>
          <w:rFonts w:ascii="Calibri" w:hAnsi="Calibri" w:cs="Calibri"/>
          <w:sz w:val="22"/>
          <w:szCs w:val="22"/>
        </w:rPr>
        <w:t xml:space="preserve">összesen  </w:t>
      </w:r>
      <w:r w:rsidR="004B376B">
        <w:rPr>
          <w:rFonts w:ascii="Calibri" w:hAnsi="Calibri" w:cs="Calibri"/>
          <w:sz w:val="22"/>
          <w:szCs w:val="22"/>
        </w:rPr>
        <w:t>266.853</w:t>
      </w:r>
      <w:r w:rsidRPr="007B68DF">
        <w:rPr>
          <w:rFonts w:ascii="Calibri" w:hAnsi="Calibri" w:cs="Calibri"/>
          <w:sz w:val="22"/>
          <w:szCs w:val="22"/>
        </w:rPr>
        <w:t xml:space="preserve"> eFt</w:t>
      </w:r>
      <w:r w:rsidR="004B376B">
        <w:rPr>
          <w:rFonts w:ascii="Calibri" w:hAnsi="Calibri" w:cs="Calibri"/>
          <w:sz w:val="22"/>
          <w:szCs w:val="22"/>
        </w:rPr>
        <w:t>-al került csökkentésre</w:t>
      </w:r>
      <w:r w:rsidRPr="007B68DF">
        <w:rPr>
          <w:rFonts w:ascii="Calibri" w:hAnsi="Calibri" w:cs="Calibri"/>
          <w:sz w:val="22"/>
          <w:szCs w:val="22"/>
        </w:rPr>
        <w:t xml:space="preserve">.  </w:t>
      </w:r>
    </w:p>
    <w:p w14:paraId="4269D6D5" w14:textId="77777777" w:rsidR="00500B0C" w:rsidRPr="00644437" w:rsidRDefault="00500B0C" w:rsidP="00500B0C">
      <w:pPr>
        <w:ind w:left="3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1638863" w14:textId="77777777" w:rsidR="00F942A1" w:rsidRPr="00F942A1" w:rsidRDefault="00F942A1" w:rsidP="00F942A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F942A1">
        <w:rPr>
          <w:rFonts w:ascii="Calibri" w:hAnsi="Calibri" w:cs="Calibri"/>
          <w:sz w:val="22"/>
          <w:szCs w:val="22"/>
        </w:rPr>
        <w:t>A „Köztemetés költségeinek megtérüléséből”, „Köztemetés költségeinek megtérülés más önkormányzattól” és a „Köztemetés bevételéből” származó többletek a „Segély önkormányzati támogatásból” tételre kerültek beemelésre</w:t>
      </w:r>
      <w:r>
        <w:rPr>
          <w:rFonts w:ascii="Calibri" w:hAnsi="Calibri" w:cs="Calibri"/>
          <w:sz w:val="22"/>
          <w:szCs w:val="22"/>
        </w:rPr>
        <w:t xml:space="preserve"> összesen 7.176</w:t>
      </w:r>
      <w:r w:rsidR="00805B8B">
        <w:rPr>
          <w:rFonts w:ascii="Calibri" w:hAnsi="Calibri" w:cs="Calibri"/>
          <w:sz w:val="22"/>
          <w:szCs w:val="22"/>
        </w:rPr>
        <w:t xml:space="preserve"> </w:t>
      </w:r>
      <w:r w:rsidRPr="00F942A1">
        <w:rPr>
          <w:rFonts w:ascii="Calibri" w:hAnsi="Calibri" w:cs="Calibri"/>
          <w:sz w:val="22"/>
          <w:szCs w:val="22"/>
        </w:rPr>
        <w:t>eFt összegben.</w:t>
      </w:r>
    </w:p>
    <w:p w14:paraId="12742418" w14:textId="77777777" w:rsidR="003622DB" w:rsidRPr="00644437" w:rsidRDefault="003622DB" w:rsidP="009B5448">
      <w:pPr>
        <w:jc w:val="both"/>
        <w:rPr>
          <w:rFonts w:ascii="Calibri" w:hAnsi="Calibri" w:cs="Calibri"/>
          <w:color w:val="FF0000"/>
          <w:sz w:val="22"/>
          <w:szCs w:val="22"/>
          <w:highlight w:val="yellow"/>
        </w:rPr>
      </w:pPr>
    </w:p>
    <w:p w14:paraId="0C997660" w14:textId="77777777" w:rsidR="002C594F" w:rsidRPr="001B3DE2" w:rsidRDefault="00E43772" w:rsidP="002C594F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B3DE2">
        <w:rPr>
          <w:rFonts w:ascii="Calibri" w:hAnsi="Calibri" w:cs="Calibri"/>
          <w:sz w:val="22"/>
          <w:szCs w:val="22"/>
        </w:rPr>
        <w:t xml:space="preserve">A </w:t>
      </w:r>
      <w:r w:rsidR="00B73A2D">
        <w:rPr>
          <w:rFonts w:ascii="Calibri" w:hAnsi="Calibri" w:cs="Calibri"/>
          <w:sz w:val="22"/>
          <w:szCs w:val="22"/>
        </w:rPr>
        <w:t>„</w:t>
      </w:r>
      <w:r w:rsidRPr="001B3DE2">
        <w:rPr>
          <w:rFonts w:ascii="Calibri" w:hAnsi="Calibri" w:cs="Calibri"/>
          <w:sz w:val="22"/>
          <w:szCs w:val="22"/>
        </w:rPr>
        <w:t xml:space="preserve">Közösségi Bérlakás Rendszer </w:t>
      </w:r>
      <w:r w:rsidR="00B73A2D">
        <w:rPr>
          <w:rFonts w:ascii="Calibri" w:hAnsi="Calibri" w:cs="Calibri"/>
          <w:sz w:val="22"/>
          <w:szCs w:val="22"/>
        </w:rPr>
        <w:t xml:space="preserve">– lakbér bevétel” </w:t>
      </w:r>
      <w:r w:rsidRPr="001B3DE2">
        <w:rPr>
          <w:rFonts w:ascii="Calibri" w:hAnsi="Calibri" w:cs="Calibri"/>
          <w:sz w:val="22"/>
          <w:szCs w:val="22"/>
        </w:rPr>
        <w:t>működéséhez kapcsolódó többletbevétel összege</w:t>
      </w:r>
      <w:r w:rsidR="00B3221C">
        <w:rPr>
          <w:rFonts w:ascii="Calibri" w:hAnsi="Calibri" w:cs="Calibri"/>
          <w:sz w:val="22"/>
          <w:szCs w:val="22"/>
        </w:rPr>
        <w:t xml:space="preserve"> -</w:t>
      </w:r>
      <w:r w:rsidRPr="001B3DE2">
        <w:rPr>
          <w:rFonts w:ascii="Calibri" w:hAnsi="Calibri" w:cs="Calibri"/>
          <w:sz w:val="22"/>
          <w:szCs w:val="22"/>
        </w:rPr>
        <w:t xml:space="preserve"> mely </w:t>
      </w:r>
      <w:r w:rsidR="00B73A2D">
        <w:rPr>
          <w:rFonts w:ascii="Calibri" w:hAnsi="Calibri" w:cs="Calibri"/>
          <w:sz w:val="22"/>
          <w:szCs w:val="22"/>
        </w:rPr>
        <w:t xml:space="preserve">9.047 </w:t>
      </w:r>
      <w:r w:rsidRPr="001B3DE2">
        <w:rPr>
          <w:rFonts w:ascii="Calibri" w:hAnsi="Calibri" w:cs="Calibri"/>
          <w:sz w:val="22"/>
          <w:szCs w:val="22"/>
        </w:rPr>
        <w:t>eFt</w:t>
      </w:r>
      <w:r w:rsidR="00B3221C">
        <w:rPr>
          <w:rFonts w:ascii="Calibri" w:hAnsi="Calibri" w:cs="Calibri"/>
          <w:sz w:val="22"/>
          <w:szCs w:val="22"/>
        </w:rPr>
        <w:t xml:space="preserve"> -</w:t>
      </w:r>
      <w:r w:rsidRPr="001B3DE2">
        <w:rPr>
          <w:rFonts w:ascii="Calibri" w:hAnsi="Calibri" w:cs="Calibri"/>
          <w:sz w:val="22"/>
          <w:szCs w:val="22"/>
        </w:rPr>
        <w:t xml:space="preserve"> beemelésre került a Közösségi Bérlakás Rendszer kiadási előirányzatára. </w:t>
      </w:r>
    </w:p>
    <w:p w14:paraId="765F098D" w14:textId="77777777" w:rsidR="003622DB" w:rsidRDefault="00C72573" w:rsidP="009B544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7B68DF">
        <w:rPr>
          <w:rFonts w:ascii="Calibri" w:hAnsi="Calibri" w:cs="Calibri"/>
          <w:sz w:val="22"/>
          <w:szCs w:val="22"/>
        </w:rPr>
        <w:lastRenderedPageBreak/>
        <w:t>A 2023</w:t>
      </w:r>
      <w:r w:rsidR="00BF0634" w:rsidRPr="007B68DF">
        <w:rPr>
          <w:rFonts w:ascii="Calibri" w:hAnsi="Calibri" w:cs="Calibri"/>
          <w:sz w:val="22"/>
          <w:szCs w:val="22"/>
        </w:rPr>
        <w:t xml:space="preserve">. évi </w:t>
      </w:r>
      <w:r w:rsidR="002E1C5F" w:rsidRPr="007B68DF">
        <w:rPr>
          <w:rFonts w:ascii="Calibri" w:hAnsi="Calibri" w:cs="Calibri"/>
          <w:sz w:val="22"/>
          <w:szCs w:val="22"/>
        </w:rPr>
        <w:t>teljesítési adat</w:t>
      </w:r>
      <w:r w:rsidR="00D130F1" w:rsidRPr="007B68DF">
        <w:rPr>
          <w:rFonts w:ascii="Calibri" w:hAnsi="Calibri" w:cs="Calibri"/>
          <w:sz w:val="22"/>
          <w:szCs w:val="22"/>
        </w:rPr>
        <w:t xml:space="preserve">ok alapján a </w:t>
      </w:r>
      <w:r w:rsidR="00BF0634" w:rsidRPr="007B68DF">
        <w:rPr>
          <w:rFonts w:ascii="Calibri" w:hAnsi="Calibri" w:cs="Calibri"/>
          <w:sz w:val="22"/>
          <w:szCs w:val="22"/>
        </w:rPr>
        <w:t xml:space="preserve">„Vásárok bevétele” </w:t>
      </w:r>
      <w:r w:rsidR="00B3221C">
        <w:rPr>
          <w:rFonts w:ascii="Calibri" w:hAnsi="Calibri" w:cs="Calibri"/>
          <w:sz w:val="22"/>
          <w:szCs w:val="22"/>
        </w:rPr>
        <w:t xml:space="preserve">költségvetési </w:t>
      </w:r>
      <w:r w:rsidR="00713253">
        <w:rPr>
          <w:rFonts w:ascii="Calibri" w:hAnsi="Calibri" w:cs="Calibri"/>
          <w:sz w:val="22"/>
          <w:szCs w:val="22"/>
        </w:rPr>
        <w:t>tétel</w:t>
      </w:r>
      <w:r w:rsidR="00B3221C">
        <w:rPr>
          <w:rFonts w:ascii="Calibri" w:hAnsi="Calibri" w:cs="Calibri"/>
          <w:sz w:val="22"/>
          <w:szCs w:val="22"/>
        </w:rPr>
        <w:t xml:space="preserve">sor </w:t>
      </w:r>
      <w:r w:rsidR="00713253">
        <w:rPr>
          <w:rFonts w:ascii="Calibri" w:hAnsi="Calibri" w:cs="Calibri"/>
          <w:sz w:val="22"/>
          <w:szCs w:val="22"/>
        </w:rPr>
        <w:t xml:space="preserve">jelentkező </w:t>
      </w:r>
      <w:r w:rsidR="00BF0634" w:rsidRPr="007B68DF">
        <w:rPr>
          <w:rFonts w:ascii="Calibri" w:hAnsi="Calibri" w:cs="Calibri"/>
          <w:sz w:val="22"/>
          <w:szCs w:val="22"/>
        </w:rPr>
        <w:t>többlet</w:t>
      </w:r>
      <w:r w:rsidR="00713253">
        <w:rPr>
          <w:rFonts w:ascii="Calibri" w:hAnsi="Calibri" w:cs="Calibri"/>
          <w:sz w:val="22"/>
          <w:szCs w:val="22"/>
        </w:rPr>
        <w:t>bevétel</w:t>
      </w:r>
      <w:r w:rsidR="00BF0634" w:rsidRPr="007B68DF">
        <w:rPr>
          <w:rFonts w:ascii="Calibri" w:hAnsi="Calibri" w:cs="Calibri"/>
          <w:sz w:val="22"/>
          <w:szCs w:val="22"/>
        </w:rPr>
        <w:t xml:space="preserve"> </w:t>
      </w:r>
      <w:r w:rsidR="00713253">
        <w:rPr>
          <w:rFonts w:ascii="Calibri" w:hAnsi="Calibri" w:cs="Calibri"/>
          <w:sz w:val="22"/>
          <w:szCs w:val="22"/>
        </w:rPr>
        <w:t xml:space="preserve">11.624 </w:t>
      </w:r>
      <w:r w:rsidR="002E1C5F" w:rsidRPr="007B68DF">
        <w:rPr>
          <w:rFonts w:ascii="Calibri" w:hAnsi="Calibri" w:cs="Calibri"/>
          <w:sz w:val="22"/>
          <w:szCs w:val="22"/>
        </w:rPr>
        <w:t>eFt</w:t>
      </w:r>
      <w:r w:rsidR="00713253">
        <w:rPr>
          <w:rFonts w:ascii="Calibri" w:hAnsi="Calibri" w:cs="Calibri"/>
          <w:sz w:val="22"/>
          <w:szCs w:val="22"/>
        </w:rPr>
        <w:t>, a „Vásárokhoz kapcsolódó közterület foglalási díjbevétel” költségvetési tételsoron jelentkező többletbevétel pedig 7.107 eFt</w:t>
      </w:r>
      <w:r w:rsidR="002E1C5F" w:rsidRPr="007B68DF">
        <w:rPr>
          <w:rFonts w:ascii="Calibri" w:hAnsi="Calibri" w:cs="Calibri"/>
          <w:sz w:val="22"/>
          <w:szCs w:val="22"/>
        </w:rPr>
        <w:t>. Ezen összeg</w:t>
      </w:r>
      <w:r w:rsidR="00713253">
        <w:rPr>
          <w:rFonts w:ascii="Calibri" w:hAnsi="Calibri" w:cs="Calibri"/>
          <w:sz w:val="22"/>
          <w:szCs w:val="22"/>
        </w:rPr>
        <w:t xml:space="preserve">ekkel a </w:t>
      </w:r>
      <w:r w:rsidR="002E1C5F" w:rsidRPr="007B68DF">
        <w:rPr>
          <w:rFonts w:ascii="Calibri" w:hAnsi="Calibri" w:cs="Calibri"/>
          <w:sz w:val="22"/>
          <w:szCs w:val="22"/>
        </w:rPr>
        <w:t>„Vásárok, rendezvények, karácsonyi díszkivilágítás” kiadási előirányzat</w:t>
      </w:r>
      <w:r w:rsidR="00713253">
        <w:rPr>
          <w:rFonts w:ascii="Calibri" w:hAnsi="Calibri" w:cs="Calibri"/>
          <w:sz w:val="22"/>
          <w:szCs w:val="22"/>
        </w:rPr>
        <w:t xml:space="preserve"> került megemelésre. </w:t>
      </w:r>
      <w:r w:rsidR="002E1C5F" w:rsidRPr="007B68DF">
        <w:rPr>
          <w:rFonts w:ascii="Calibri" w:hAnsi="Calibri" w:cs="Calibri"/>
          <w:sz w:val="22"/>
          <w:szCs w:val="22"/>
        </w:rPr>
        <w:t xml:space="preserve"> </w:t>
      </w:r>
      <w:r w:rsidR="00E8771F" w:rsidRPr="007B68DF">
        <w:rPr>
          <w:rFonts w:ascii="Calibri" w:hAnsi="Calibri" w:cs="Calibri"/>
          <w:sz w:val="22"/>
          <w:szCs w:val="22"/>
        </w:rPr>
        <w:t xml:space="preserve">  </w:t>
      </w:r>
    </w:p>
    <w:p w14:paraId="36FE6DC5" w14:textId="77777777" w:rsidR="000A464D" w:rsidRDefault="000A464D" w:rsidP="000A464D">
      <w:pPr>
        <w:pStyle w:val="Listaszerbekezds"/>
        <w:rPr>
          <w:rFonts w:ascii="Calibri" w:hAnsi="Calibri" w:cs="Calibri"/>
          <w:sz w:val="22"/>
          <w:szCs w:val="22"/>
        </w:rPr>
      </w:pPr>
    </w:p>
    <w:p w14:paraId="59C5E8AB" w14:textId="77777777" w:rsidR="007B68DF" w:rsidRDefault="000A464D" w:rsidP="000A464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A464D">
        <w:rPr>
          <w:rFonts w:ascii="Calibri" w:hAnsi="Calibri" w:cs="Calibri"/>
          <w:sz w:val="22"/>
          <w:szCs w:val="22"/>
        </w:rPr>
        <w:t>A 202</w:t>
      </w:r>
      <w:r>
        <w:rPr>
          <w:rFonts w:ascii="Calibri" w:hAnsi="Calibri" w:cs="Calibri"/>
          <w:sz w:val="22"/>
          <w:szCs w:val="22"/>
        </w:rPr>
        <w:t>3</w:t>
      </w:r>
      <w:r w:rsidR="003A765C">
        <w:rPr>
          <w:rFonts w:ascii="Calibri" w:hAnsi="Calibri" w:cs="Calibri"/>
          <w:sz w:val="22"/>
          <w:szCs w:val="22"/>
        </w:rPr>
        <w:t>.</w:t>
      </w:r>
      <w:r w:rsidRPr="000A464D">
        <w:rPr>
          <w:rFonts w:ascii="Calibri" w:hAnsi="Calibri" w:cs="Calibri"/>
          <w:sz w:val="22"/>
          <w:szCs w:val="22"/>
        </w:rPr>
        <w:t xml:space="preserve"> évi teljesítési adatok alapján rendezésre (csökkentésre) kerültek a „Viziközmű és szennyvízközmű használati díjbevételhez” kapcsolódó </w:t>
      </w:r>
      <w:r>
        <w:rPr>
          <w:rFonts w:ascii="Calibri" w:hAnsi="Calibri" w:cs="Calibri"/>
          <w:sz w:val="22"/>
          <w:szCs w:val="22"/>
        </w:rPr>
        <w:t xml:space="preserve">bevételi és kiadási </w:t>
      </w:r>
      <w:r w:rsidRPr="000A464D">
        <w:rPr>
          <w:rFonts w:ascii="Calibri" w:hAnsi="Calibri" w:cs="Calibri"/>
          <w:sz w:val="22"/>
          <w:szCs w:val="22"/>
        </w:rPr>
        <w:t xml:space="preserve">előirányzatok </w:t>
      </w:r>
      <w:r>
        <w:rPr>
          <w:rFonts w:ascii="Calibri" w:hAnsi="Calibri" w:cs="Calibri"/>
          <w:sz w:val="22"/>
          <w:szCs w:val="22"/>
        </w:rPr>
        <w:t xml:space="preserve">is </w:t>
      </w:r>
      <w:r w:rsidRPr="000A464D">
        <w:rPr>
          <w:rFonts w:ascii="Calibri" w:hAnsi="Calibri" w:cs="Calibri"/>
          <w:sz w:val="22"/>
          <w:szCs w:val="22"/>
        </w:rPr>
        <w:t xml:space="preserve">mindösszesen </w:t>
      </w:r>
      <w:r>
        <w:rPr>
          <w:rFonts w:ascii="Calibri" w:hAnsi="Calibri" w:cs="Calibri"/>
          <w:sz w:val="22"/>
          <w:szCs w:val="22"/>
        </w:rPr>
        <w:t>559.074</w:t>
      </w:r>
      <w:r w:rsidRPr="000A464D">
        <w:rPr>
          <w:rFonts w:ascii="Calibri" w:hAnsi="Calibri" w:cs="Calibri"/>
          <w:sz w:val="22"/>
          <w:szCs w:val="22"/>
        </w:rPr>
        <w:t xml:space="preserve"> eFt összegben.</w:t>
      </w:r>
    </w:p>
    <w:p w14:paraId="187BDA9D" w14:textId="77777777" w:rsidR="008848F7" w:rsidRDefault="008848F7" w:rsidP="008848F7">
      <w:pPr>
        <w:pStyle w:val="Listaszerbekezds"/>
        <w:rPr>
          <w:rFonts w:ascii="Calibri" w:hAnsi="Calibri" w:cs="Calibri"/>
          <w:sz w:val="22"/>
          <w:szCs w:val="22"/>
        </w:rPr>
      </w:pPr>
    </w:p>
    <w:p w14:paraId="627E817D" w14:textId="77777777" w:rsidR="008848F7" w:rsidRPr="008848F7" w:rsidRDefault="008848F7" w:rsidP="00805B8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848F7">
        <w:rPr>
          <w:rFonts w:ascii="Calibri" w:hAnsi="Calibri" w:cs="Calibri"/>
          <w:sz w:val="22"/>
          <w:szCs w:val="22"/>
        </w:rPr>
        <w:t>A finanszírozási műveletek bevételi és kiadási előirányzata között a 202</w:t>
      </w:r>
      <w:r>
        <w:rPr>
          <w:rFonts w:ascii="Calibri" w:hAnsi="Calibri" w:cs="Calibri"/>
          <w:sz w:val="22"/>
          <w:szCs w:val="22"/>
        </w:rPr>
        <w:t>4</w:t>
      </w:r>
      <w:r w:rsidRPr="008848F7">
        <w:rPr>
          <w:rFonts w:ascii="Calibri" w:hAnsi="Calibri" w:cs="Calibri"/>
          <w:sz w:val="22"/>
          <w:szCs w:val="22"/>
        </w:rPr>
        <w:t xml:space="preserve">. évi költségvetési támogatási előleg </w:t>
      </w:r>
      <w:r>
        <w:rPr>
          <w:rFonts w:ascii="Calibri" w:hAnsi="Calibri" w:cs="Calibri"/>
          <w:sz w:val="22"/>
          <w:szCs w:val="22"/>
        </w:rPr>
        <w:t xml:space="preserve">257.267 </w:t>
      </w:r>
      <w:r w:rsidRPr="008848F7">
        <w:rPr>
          <w:rFonts w:ascii="Calibri" w:hAnsi="Calibri" w:cs="Calibri"/>
          <w:sz w:val="22"/>
          <w:szCs w:val="22"/>
        </w:rPr>
        <w:t>eFt összegének elszámolása történt meg.</w:t>
      </w:r>
    </w:p>
    <w:p w14:paraId="2A3A8B0D" w14:textId="77777777" w:rsidR="008848F7" w:rsidRPr="000A464D" w:rsidRDefault="008848F7" w:rsidP="008848F7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2F5481E" w14:textId="77777777" w:rsidR="00500B0C" w:rsidRPr="00F14DC1" w:rsidRDefault="009723BC" w:rsidP="004B376B">
      <w:pPr>
        <w:numPr>
          <w:ilvl w:val="0"/>
          <w:numId w:val="31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: </w:t>
      </w:r>
      <w:r w:rsidR="00057C30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4B376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0 e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Ft</w:t>
      </w:r>
    </w:p>
    <w:p w14:paraId="36DC6AEF" w14:textId="77777777" w:rsidR="00500B0C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0FF29F7" w14:textId="77777777" w:rsidR="000120C1" w:rsidRDefault="000120C1" w:rsidP="007E1EEA">
      <w:pPr>
        <w:keepNext/>
        <w:jc w:val="both"/>
        <w:outlineLvl w:val="7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17F9CC17" w14:textId="77777777" w:rsidR="00A60C2A" w:rsidRPr="007E1EEA" w:rsidRDefault="00500B0C" w:rsidP="000442EA">
      <w:pPr>
        <w:keepNext/>
        <w:numPr>
          <w:ilvl w:val="0"/>
          <w:numId w:val="13"/>
        </w:numPr>
        <w:jc w:val="both"/>
        <w:outlineLvl w:val="7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sz w:val="22"/>
          <w:szCs w:val="22"/>
          <w:u w:val="single"/>
        </w:rPr>
        <w:t>A Polgármesteri rendelkezések alapján történt előirányzat átcsoportosítások:</w:t>
      </w:r>
    </w:p>
    <w:p w14:paraId="65173C49" w14:textId="77777777" w:rsidR="00A60C2A" w:rsidRPr="00F14DC1" w:rsidRDefault="00A60C2A" w:rsidP="00500B0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2008"/>
      </w:tblGrid>
      <w:tr w:rsidR="00500B0C" w:rsidRPr="00F14DC1" w14:paraId="458FBDC1" w14:textId="77777777" w:rsidTr="00F172A1">
        <w:trPr>
          <w:trHeight w:val="576"/>
        </w:trPr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4770A39F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4741E234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500B0C" w:rsidRPr="00F14DC1" w14:paraId="4C3EFA9E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6F7F4A" w14:textId="77777777" w:rsidR="00500B0C" w:rsidRPr="00C50D1D" w:rsidRDefault="00975CDE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CDE">
              <w:rPr>
                <w:rFonts w:ascii="Calibri" w:hAnsi="Calibri" w:cs="Calibri"/>
                <w:sz w:val="22"/>
                <w:szCs w:val="22"/>
              </w:rPr>
              <w:t>Önkormányzati felhalmozási kiadások – TOP-6.1.5-2019-00002 Ferenczy u. hiányzó szakaszának építése - hozzájárulás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72FC1E" w14:textId="77777777" w:rsidR="00500B0C" w:rsidRPr="00144257" w:rsidRDefault="00975CDE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+2.100</w:t>
            </w:r>
          </w:p>
        </w:tc>
      </w:tr>
      <w:tr w:rsidR="00500B0C" w:rsidRPr="00F14DC1" w14:paraId="344BAC07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2152A5" w14:textId="77777777" w:rsidR="00500B0C" w:rsidRPr="00F14011" w:rsidRDefault="00975CDE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CDE">
              <w:rPr>
                <w:rFonts w:ascii="Calibri" w:hAnsi="Calibri" w:cs="Calibri"/>
                <w:sz w:val="22"/>
                <w:szCs w:val="22"/>
              </w:rPr>
              <w:t>Önkormányzati felhalmozási kiadások-</w:t>
            </w:r>
            <w:r>
              <w:t xml:space="preserve"> </w:t>
            </w:r>
            <w:r w:rsidRPr="00975CDE">
              <w:rPr>
                <w:rFonts w:ascii="Calibri" w:hAnsi="Calibri" w:cs="Calibri"/>
                <w:sz w:val="22"/>
                <w:szCs w:val="22"/>
              </w:rPr>
              <w:t>TOP-6.4.1-15-2019-00003 Sz</w:t>
            </w:r>
            <w:r w:rsidR="0082036C">
              <w:rPr>
                <w:rFonts w:ascii="Calibri" w:hAnsi="Calibri" w:cs="Calibri"/>
                <w:sz w:val="22"/>
                <w:szCs w:val="22"/>
              </w:rPr>
              <w:t>ombat</w:t>
            </w:r>
            <w:r w:rsidRPr="00975CDE">
              <w:rPr>
                <w:rFonts w:ascii="Calibri" w:hAnsi="Calibri" w:cs="Calibri"/>
                <w:sz w:val="22"/>
                <w:szCs w:val="22"/>
              </w:rPr>
              <w:t>hely és Balogunyom településeket összekötő kerékpárút megépítése - hozzájárulás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46C5636" w14:textId="77777777" w:rsidR="0082036C" w:rsidRDefault="0082036C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B344065" w14:textId="77777777" w:rsidR="0082036C" w:rsidRDefault="0082036C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E970FF2" w14:textId="77777777" w:rsidR="0082036C" w:rsidRPr="00746BFE" w:rsidRDefault="00975CDE" w:rsidP="008203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-2.100</w:t>
            </w:r>
          </w:p>
        </w:tc>
      </w:tr>
      <w:tr w:rsidR="00AD4DFE" w:rsidRPr="00F14DC1" w14:paraId="5E994B11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135EC9" w14:textId="77777777" w:rsidR="00AD4DFE" w:rsidRPr="00F14011" w:rsidRDefault="00EB1729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1729">
              <w:rPr>
                <w:rFonts w:ascii="Calibri" w:hAnsi="Calibri" w:cs="Calibri"/>
                <w:sz w:val="22"/>
                <w:szCs w:val="22"/>
              </w:rPr>
              <w:t>Önkormányzati felhalmozási kiadások – Északi iparterület - közm</w:t>
            </w:r>
            <w:r w:rsidR="00DB608E">
              <w:rPr>
                <w:rFonts w:ascii="Calibri" w:hAnsi="Calibri" w:cs="Calibri"/>
                <w:sz w:val="22"/>
                <w:szCs w:val="22"/>
              </w:rPr>
              <w:t>ű</w:t>
            </w:r>
            <w:r w:rsidRPr="00EB1729">
              <w:rPr>
                <w:rFonts w:ascii="Calibri" w:hAnsi="Calibri" w:cs="Calibri"/>
                <w:sz w:val="22"/>
                <w:szCs w:val="22"/>
              </w:rPr>
              <w:t>ves</w:t>
            </w:r>
            <w:r w:rsidR="00DB608E">
              <w:rPr>
                <w:rFonts w:ascii="Calibri" w:hAnsi="Calibri" w:cs="Calibri"/>
                <w:sz w:val="22"/>
                <w:szCs w:val="22"/>
              </w:rPr>
              <w:t>í</w:t>
            </w:r>
            <w:r w:rsidRPr="00EB1729">
              <w:rPr>
                <w:rFonts w:ascii="Calibri" w:hAnsi="Calibri" w:cs="Calibri"/>
                <w:sz w:val="22"/>
                <w:szCs w:val="22"/>
              </w:rPr>
              <w:t>tések finanszírozása, fejlesztések finanszírozása, tanulmányterv készítése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28217B" w14:textId="77777777" w:rsidR="00AD4DFE" w:rsidRPr="00144257" w:rsidRDefault="00EB1729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+1.322</w:t>
            </w:r>
          </w:p>
        </w:tc>
      </w:tr>
      <w:tr w:rsidR="00AD4DFE" w:rsidRPr="00F14DC1" w14:paraId="76FD7638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E1ADC8" w14:textId="77777777" w:rsidR="00AD4DFE" w:rsidRPr="00F14011" w:rsidRDefault="00EB1729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1729">
              <w:rPr>
                <w:rFonts w:ascii="Calibri" w:hAnsi="Calibri" w:cs="Calibri"/>
                <w:sz w:val="22"/>
                <w:szCs w:val="22"/>
              </w:rPr>
              <w:t>Tartalékok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D4ACFF" w14:textId="77777777" w:rsidR="006062E8" w:rsidRPr="00144257" w:rsidRDefault="00EB1729" w:rsidP="006062E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-1.322</w:t>
            </w:r>
          </w:p>
        </w:tc>
      </w:tr>
      <w:tr w:rsidR="00AD4DFE" w:rsidRPr="00F14DC1" w14:paraId="6BE81DB4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AD3C66" w14:textId="77777777" w:rsidR="00AD4DFE" w:rsidRPr="00F14011" w:rsidRDefault="004509D1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09D1">
              <w:rPr>
                <w:rFonts w:ascii="Calibri" w:hAnsi="Calibri" w:cs="Calibri"/>
                <w:sz w:val="22"/>
                <w:szCs w:val="22"/>
              </w:rPr>
              <w:t>Szociális ágazat kiadásai – Szociális Szolgáltatók Közhasznú Egyesülete - támogatás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F31136" w14:textId="77777777" w:rsidR="00AD4DFE" w:rsidRPr="00EF42E0" w:rsidRDefault="004509D1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+150</w:t>
            </w:r>
          </w:p>
        </w:tc>
      </w:tr>
      <w:tr w:rsidR="00AD4DFE" w:rsidRPr="00F14DC1" w14:paraId="3EF519DC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C88178" w14:textId="77777777" w:rsidR="00AD4DFE" w:rsidRPr="00F14011" w:rsidRDefault="004509D1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509D1">
              <w:rPr>
                <w:rFonts w:ascii="Calibri" w:hAnsi="Calibri" w:cs="Calibri"/>
                <w:sz w:val="22"/>
                <w:szCs w:val="22"/>
              </w:rPr>
              <w:t>Szociális ágazat kiadásai – Bursa Hungarica felsőoktatási ösztöndíj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1BB4D5" w14:textId="77777777" w:rsidR="00AD4DFE" w:rsidRPr="00EF42E0" w:rsidRDefault="004509D1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-150</w:t>
            </w:r>
          </w:p>
        </w:tc>
      </w:tr>
      <w:tr w:rsidR="00AD4DFE" w:rsidRPr="00F14DC1" w14:paraId="0E369021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EDD587" w14:textId="77777777" w:rsidR="00AD4DFE" w:rsidRPr="00F14011" w:rsidRDefault="00CF7BFC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7BFC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 – Önkormányzati nagyrendezvények - Savaria Karnevál megrendezése, kulturális rendezvények, fesztiválok megrendezése (Savaria Turizmus Nkft., Egyéb kiadások, stb…)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257642" w14:textId="77777777" w:rsidR="00AD4DFE" w:rsidRPr="00EF42E0" w:rsidRDefault="00CF7BFC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+350</w:t>
            </w:r>
          </w:p>
        </w:tc>
      </w:tr>
      <w:tr w:rsidR="00AD4DFE" w:rsidRPr="00F14DC1" w14:paraId="7DBBAF0C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4406C5" w14:textId="77777777" w:rsidR="00AD4DFE" w:rsidRPr="00F14011" w:rsidRDefault="00CF7BFC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7BFC">
              <w:rPr>
                <w:rFonts w:ascii="Calibri" w:hAnsi="Calibri" w:cs="Calibri"/>
                <w:sz w:val="22"/>
                <w:szCs w:val="22"/>
              </w:rPr>
              <w:t>Tartalékok-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2C4AA06" w14:textId="77777777" w:rsidR="00AD4DFE" w:rsidRPr="00EF42E0" w:rsidRDefault="00CF7BFC" w:rsidP="00CF7BF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-350</w:t>
            </w:r>
          </w:p>
        </w:tc>
      </w:tr>
      <w:tr w:rsidR="00EF42E0" w:rsidRPr="00F14DC1" w14:paraId="6CB4D76E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4375DC4" w14:textId="77777777" w:rsidR="00EF42E0" w:rsidRPr="00144257" w:rsidRDefault="00200B7F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00B7F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–Polgármesteri Hivatal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14EC29" w14:textId="77777777" w:rsidR="00EF42E0" w:rsidRPr="00EF42E0" w:rsidRDefault="00200B7F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+7.923</w:t>
            </w:r>
          </w:p>
        </w:tc>
      </w:tr>
      <w:tr w:rsidR="00EF42E0" w:rsidRPr="00F14DC1" w14:paraId="2C4772A9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B97E96" w14:textId="77777777" w:rsidR="00EF42E0" w:rsidRPr="00A16BD7" w:rsidRDefault="00200B7F" w:rsidP="002532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/>
                <w:sz w:val="22"/>
                <w:szCs w:val="22"/>
              </w:rPr>
              <w:t>Egyéb, más ágazathoz nem sorolható intézmények és feladatok kiadásai – EIT Urban Mobility TICER pályázat</w:t>
            </w:r>
            <w:r w:rsidR="00253269" w:rsidRPr="00A16BD7">
              <w:rPr>
                <w:rFonts w:ascii="Calibri" w:hAnsi="Calibri"/>
                <w:sz w:val="22"/>
                <w:szCs w:val="22"/>
              </w:rPr>
              <w:t xml:space="preserve"> önerő és támogatás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73A226D" w14:textId="77777777" w:rsidR="00EF42E0" w:rsidRPr="00A16BD7" w:rsidRDefault="00200B7F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-7.923</w:t>
            </w:r>
          </w:p>
        </w:tc>
      </w:tr>
      <w:tr w:rsidR="00422F90" w:rsidRPr="00F14DC1" w14:paraId="1607D2F7" w14:textId="77777777" w:rsidTr="00F172A1"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14:paraId="4C0686AD" w14:textId="77777777" w:rsidR="005E0CE3" w:rsidRPr="00A16BD7" w:rsidRDefault="00B84193" w:rsidP="000C4705">
            <w:pPr>
              <w:jc w:val="both"/>
              <w:rPr>
                <w:rStyle w:val="Kiemels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–Polgármesteri Hivatal</w:t>
            </w:r>
            <w:r w:rsidR="00A16BD7" w:rsidRPr="00A16BD7">
              <w:rPr>
                <w:rFonts w:ascii="Calibri" w:hAnsi="Calibri" w:cs="Calibri"/>
                <w:sz w:val="22"/>
                <w:szCs w:val="22"/>
              </w:rPr>
              <w:t xml:space="preserve"> (adóellenőrzés)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auto"/>
          </w:tcPr>
          <w:p w14:paraId="3169670D" w14:textId="77777777" w:rsidR="001B6BA0" w:rsidRPr="00A16BD7" w:rsidRDefault="001B6BA0" w:rsidP="005E0CE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3A32D26" w14:textId="77777777" w:rsidR="005F260E" w:rsidRPr="00A16BD7" w:rsidRDefault="001B6BA0" w:rsidP="005E0CE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+1.651</w:t>
            </w:r>
          </w:p>
        </w:tc>
      </w:tr>
      <w:tr w:rsidR="00B84193" w:rsidRPr="00F14DC1" w14:paraId="0C9DD153" w14:textId="77777777" w:rsidTr="00B84193"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14:paraId="4534FE22" w14:textId="77777777" w:rsidR="00B84193" w:rsidRPr="00A16BD7" w:rsidRDefault="001B6BA0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– Bankköltség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</w:tcPr>
          <w:p w14:paraId="1D06453B" w14:textId="77777777" w:rsidR="001B6BA0" w:rsidRPr="00A16BD7" w:rsidRDefault="001B6BA0" w:rsidP="005E0CE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49AAAF9" w14:textId="77777777" w:rsidR="00B84193" w:rsidRPr="00A16BD7" w:rsidRDefault="001B6BA0" w:rsidP="005E0CE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-1.010</w:t>
            </w:r>
          </w:p>
        </w:tc>
      </w:tr>
      <w:tr w:rsidR="005F260E" w:rsidRPr="00F14DC1" w14:paraId="74A5EFE7" w14:textId="77777777" w:rsidTr="00F172A1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1FD7" w14:textId="77777777" w:rsidR="005F260E" w:rsidRPr="00A16BD7" w:rsidRDefault="001B6BA0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– Könyvvizsgálói költség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647E9" w14:textId="77777777" w:rsidR="001B6BA0" w:rsidRPr="00A16BD7" w:rsidRDefault="001B6BA0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5317017" w14:textId="77777777" w:rsidR="005F260E" w:rsidRPr="00A16BD7" w:rsidRDefault="001B6BA0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-641</w:t>
            </w:r>
          </w:p>
        </w:tc>
      </w:tr>
      <w:tr w:rsidR="00AA5A89" w:rsidRPr="00F14DC1" w14:paraId="62CA9710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F1710C" w14:textId="77777777" w:rsidR="00AA5A89" w:rsidRPr="00A16BD7" w:rsidRDefault="00AA5A89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Oktatási ágazat kiadásai – „Szombathely visszavár”- ösztöndíjrendszer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8AA436" w14:textId="77777777" w:rsidR="00AA5A89" w:rsidRPr="00A16BD7" w:rsidRDefault="00891D71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-200</w:t>
            </w:r>
          </w:p>
        </w:tc>
      </w:tr>
      <w:tr w:rsidR="00AA5A89" w:rsidRPr="00F14DC1" w14:paraId="40BBAA57" w14:textId="77777777" w:rsidTr="00AA5A89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22CF0" w14:textId="77777777" w:rsidR="00AA5A89" w:rsidRPr="00A16BD7" w:rsidRDefault="00AA5A89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Oktatási ágazat kiadásai – Óvodai ellátó rendszerben prognosztizált munkaerő-hiány kezelése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2AACA" w14:textId="77777777" w:rsidR="00891D71" w:rsidRPr="00A16BD7" w:rsidRDefault="00891D71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5B6EB251" w14:textId="77777777" w:rsidR="00AA5A89" w:rsidRPr="00A16BD7" w:rsidRDefault="00891D71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-700</w:t>
            </w:r>
          </w:p>
        </w:tc>
      </w:tr>
      <w:tr w:rsidR="00AA5A89" w:rsidRPr="00F14DC1" w14:paraId="30DEC197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829389" w14:textId="77777777" w:rsidR="00AA5A89" w:rsidRPr="00EF42E0" w:rsidRDefault="00AA5A89" w:rsidP="000C47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Oktatási ágazat kiadásai – Versenyek, rendezvények, támogatások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62D6FE" w14:textId="77777777" w:rsidR="00AA5A89" w:rsidRDefault="00891D71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+900</w:t>
            </w:r>
          </w:p>
        </w:tc>
      </w:tr>
      <w:tr w:rsidR="00AA5A89" w:rsidRPr="00F14DC1" w14:paraId="36CF52C7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CB5864F" w14:textId="77777777" w:rsidR="00AA5A89" w:rsidRPr="00EF42E0" w:rsidRDefault="003E0D3C" w:rsidP="00A619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0D3C">
              <w:rPr>
                <w:rFonts w:ascii="Calibri" w:hAnsi="Calibri" w:cs="Calibri"/>
                <w:sz w:val="22"/>
                <w:szCs w:val="22"/>
              </w:rPr>
              <w:lastRenderedPageBreak/>
              <w:t>Egyéb, más ágazathoz nem sorolható intézmények és feladatok –Rendőrség támogatása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EE7758" w14:textId="77777777" w:rsidR="00AA5A89" w:rsidRDefault="00AA5A89" w:rsidP="00AA5A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9651B25" w14:textId="77777777" w:rsidR="003E0D3C" w:rsidRDefault="003E0D3C" w:rsidP="00AA5A8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+2.000</w:t>
            </w:r>
          </w:p>
        </w:tc>
      </w:tr>
      <w:tr w:rsidR="00AA5A89" w:rsidRPr="00F14DC1" w14:paraId="5B49D750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A76B58" w14:textId="77777777" w:rsidR="00AA5A89" w:rsidRPr="00EF42E0" w:rsidRDefault="003E0D3C" w:rsidP="00A619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0D3C">
              <w:rPr>
                <w:rFonts w:ascii="Calibri" w:hAnsi="Calibri" w:cs="Calibri"/>
                <w:sz w:val="22"/>
                <w:szCs w:val="22"/>
              </w:rPr>
              <w:t>Tartalékok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CDDAA6" w14:textId="77777777" w:rsidR="00AA5A89" w:rsidRDefault="003E0D3C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-2.000</w:t>
            </w:r>
          </w:p>
        </w:tc>
      </w:tr>
      <w:tr w:rsidR="00AA5A89" w:rsidRPr="00F14DC1" w14:paraId="42271B53" w14:textId="77777777" w:rsidTr="00F172A1"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</w:tcPr>
          <w:p w14:paraId="3AD5FD11" w14:textId="77777777" w:rsidR="00AA5A89" w:rsidRPr="00EF42E0" w:rsidRDefault="000C4705" w:rsidP="00A619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4705">
              <w:rPr>
                <w:rFonts w:ascii="Calibri" w:hAnsi="Calibri" w:cs="Calibri"/>
                <w:sz w:val="22"/>
                <w:szCs w:val="22"/>
              </w:rPr>
              <w:t>Szociális ágazat kiadásai - Alpokalja Nagycsaládos Egyesület Szombathely támogatása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auto"/>
          </w:tcPr>
          <w:p w14:paraId="3E5A4952" w14:textId="77777777" w:rsidR="00AA5A89" w:rsidRDefault="00AA5A89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8BBA7F5" w14:textId="77777777" w:rsidR="000C4705" w:rsidRDefault="000C4705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+500</w:t>
            </w:r>
          </w:p>
        </w:tc>
      </w:tr>
      <w:tr w:rsidR="00AA5A89" w:rsidRPr="00F14DC1" w14:paraId="235A2EE5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501744" w14:textId="77777777" w:rsidR="00AA5A89" w:rsidRPr="00457355" w:rsidRDefault="000C4705" w:rsidP="00A6193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0C4705">
              <w:rPr>
                <w:rFonts w:ascii="Calibri" w:hAnsi="Calibri" w:cs="Calibri"/>
                <w:sz w:val="22"/>
                <w:szCs w:val="22"/>
              </w:rPr>
              <w:t>Szociális ágazat kiadásai - Segély önkormányzati támogatásból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997CEC" w14:textId="77777777" w:rsidR="000C4705" w:rsidRPr="005F260E" w:rsidRDefault="000C4705" w:rsidP="000C470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-500</w:t>
            </w:r>
          </w:p>
        </w:tc>
      </w:tr>
      <w:tr w:rsidR="00AA5A89" w:rsidRPr="00F14DC1" w14:paraId="139DED83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C5D3C4" w14:textId="77777777" w:rsidR="00AA5A89" w:rsidRPr="003200D7" w:rsidRDefault="0024336E" w:rsidP="00A619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336E">
              <w:rPr>
                <w:rFonts w:ascii="Calibri" w:hAnsi="Calibri" w:cs="Calibri"/>
                <w:sz w:val="22"/>
                <w:szCs w:val="22"/>
              </w:rPr>
              <w:t>Út-híd fenntartási kiadások – Hézagkiöntés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59F879" w14:textId="77777777" w:rsidR="0024336E" w:rsidRPr="003200D7" w:rsidRDefault="0024336E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-500</w:t>
            </w:r>
          </w:p>
        </w:tc>
      </w:tr>
      <w:tr w:rsidR="00AA5A89" w:rsidRPr="00F14DC1" w14:paraId="038AE6FA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AD6CDE" w14:textId="77777777" w:rsidR="00AA5A89" w:rsidRPr="00F14DC1" w:rsidRDefault="0024336E" w:rsidP="00A61934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336E">
              <w:rPr>
                <w:rFonts w:ascii="Calibri" w:hAnsi="Calibri" w:cs="Calibri"/>
                <w:sz w:val="22"/>
                <w:szCs w:val="22"/>
              </w:rPr>
              <w:t>Út-híd fenntartási kiadások – Kátyúkár-önerő biztosítása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3655EB" w14:textId="77777777" w:rsidR="00AA5A89" w:rsidRPr="003200D7" w:rsidRDefault="0024336E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+500</w:t>
            </w:r>
          </w:p>
        </w:tc>
      </w:tr>
      <w:tr w:rsidR="00AA5A89" w:rsidRPr="00F14DC1" w14:paraId="7BB9AC6F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CBA6B1" w14:textId="77777777" w:rsidR="00AA5A89" w:rsidRPr="00144257" w:rsidRDefault="00736FE7" w:rsidP="00A619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6FE7">
              <w:rPr>
                <w:rFonts w:ascii="Calibri" w:hAnsi="Calibri" w:cs="Calibri"/>
                <w:sz w:val="22"/>
                <w:szCs w:val="22"/>
              </w:rPr>
              <w:t>Önkormányzati felhalmozási kiadások – MVP ügyleti kamatfizetési kötelezettség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C68BAC" w14:textId="77777777" w:rsidR="00AA5A89" w:rsidRDefault="00AA5A89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0E9283E" w14:textId="77777777" w:rsidR="00736FE7" w:rsidRPr="003200D7" w:rsidRDefault="00736FE7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+18.758</w:t>
            </w:r>
          </w:p>
        </w:tc>
      </w:tr>
      <w:tr w:rsidR="00AA5A89" w:rsidRPr="00F14DC1" w14:paraId="3F6C717E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191D55" w14:textId="77777777" w:rsidR="00AA5A89" w:rsidRPr="00144257" w:rsidRDefault="00736FE7" w:rsidP="00A619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6FE7">
              <w:rPr>
                <w:rFonts w:ascii="Calibri" w:hAnsi="Calibri" w:cs="Calibri"/>
                <w:sz w:val="22"/>
                <w:szCs w:val="22"/>
              </w:rPr>
              <w:t>Tartalékok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86F4DB" w14:textId="77777777" w:rsidR="00AA5A89" w:rsidRPr="003200D7" w:rsidRDefault="00736FE7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-18.758</w:t>
            </w:r>
          </w:p>
        </w:tc>
      </w:tr>
      <w:tr w:rsidR="00AA5A89" w:rsidRPr="00F14DC1" w14:paraId="470704DA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4AB2E2" w14:textId="77777777" w:rsidR="00AA5A89" w:rsidRPr="00144257" w:rsidRDefault="004B751C" w:rsidP="00A619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B751C">
              <w:rPr>
                <w:rFonts w:ascii="Calibri" w:hAnsi="Calibri" w:cs="Calibri"/>
                <w:sz w:val="22"/>
                <w:szCs w:val="22"/>
              </w:rPr>
              <w:t>Sport ágazat kiadásai – Egyéb sportcélú kiadások, támogatások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BD6636" w14:textId="77777777" w:rsidR="00AA5A89" w:rsidRPr="003200D7" w:rsidRDefault="004B751C" w:rsidP="00AA5A89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+1.000</w:t>
            </w:r>
          </w:p>
        </w:tc>
      </w:tr>
      <w:tr w:rsidR="004B751C" w:rsidRPr="00F14DC1" w14:paraId="63FF9B79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51F3DD" w14:textId="77777777" w:rsidR="004B751C" w:rsidRPr="00FF7827" w:rsidRDefault="004B751C" w:rsidP="00A619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A0548DE" w14:textId="77777777" w:rsidR="004B751C" w:rsidRPr="00FF7827" w:rsidRDefault="004B751C" w:rsidP="00A619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7827">
              <w:rPr>
                <w:rFonts w:ascii="Calibri" w:hAnsi="Calibri" w:cs="Calibri"/>
                <w:sz w:val="22"/>
                <w:szCs w:val="22"/>
              </w:rPr>
              <w:t>Tartalékok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C92F90" w14:textId="77777777" w:rsidR="004B751C" w:rsidRDefault="004B751C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C3262A7" w14:textId="77777777" w:rsidR="004B751C" w:rsidRPr="003200D7" w:rsidRDefault="004B751C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-1.000</w:t>
            </w:r>
          </w:p>
        </w:tc>
      </w:tr>
      <w:tr w:rsidR="004B751C" w:rsidRPr="00F14DC1" w14:paraId="0C767340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FC6611" w14:textId="77777777" w:rsidR="004B751C" w:rsidRPr="00144257" w:rsidRDefault="00DE72C8" w:rsidP="00A619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Oktatási ágazat kiadásai – Pedagógus kitüntetések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E496B4" w14:textId="77777777" w:rsidR="004B751C" w:rsidRPr="003200D7" w:rsidRDefault="00DE72C8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+63</w:t>
            </w:r>
          </w:p>
        </w:tc>
      </w:tr>
      <w:tr w:rsidR="004B751C" w:rsidRPr="00F14DC1" w14:paraId="03308FB4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301B78" w14:textId="77777777" w:rsidR="004B751C" w:rsidRPr="00144257" w:rsidRDefault="00DE72C8" w:rsidP="00A619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Oktatási ágazat kiadásai – Városi pedagógus nap, tanévnyitó ünnepség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9A8D6E" w14:textId="77777777" w:rsidR="004B751C" w:rsidRPr="003200D7" w:rsidRDefault="00DE72C8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-63</w:t>
            </w:r>
          </w:p>
        </w:tc>
      </w:tr>
      <w:tr w:rsidR="004B751C" w:rsidRPr="00F14DC1" w14:paraId="0F89EFCA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059E97" w14:textId="77777777" w:rsidR="004B751C" w:rsidRPr="00144257" w:rsidRDefault="002A5E0B" w:rsidP="006E23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Egyéb, más ágazathoz nem sorolható intézmények és feladatok kiadásai – Nemzetközi kapcsolatok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7A1FB85" w14:textId="77777777" w:rsidR="004B751C" w:rsidRDefault="004B751C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C3B070A" w14:textId="77777777" w:rsidR="00A61934" w:rsidRPr="003200D7" w:rsidRDefault="00A61934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-320</w:t>
            </w:r>
          </w:p>
        </w:tc>
      </w:tr>
      <w:tr w:rsidR="004B751C" w:rsidRPr="00F14DC1" w14:paraId="57538D33" w14:textId="77777777" w:rsidTr="002A5E0B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0D41A" w14:textId="77777777" w:rsidR="004B751C" w:rsidRPr="00144257" w:rsidRDefault="002A5E0B" w:rsidP="006E23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Egyéb, más ágazathoz nem sorolható intézmények és feladatok kiadásai – Polgármesteri keret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5BA5E" w14:textId="77777777" w:rsidR="004B751C" w:rsidRDefault="004B751C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C1B8895" w14:textId="77777777" w:rsidR="00A61934" w:rsidRPr="003200D7" w:rsidRDefault="00A61934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-172</w:t>
            </w:r>
          </w:p>
        </w:tc>
      </w:tr>
      <w:tr w:rsidR="004B751C" w:rsidRPr="00F14DC1" w14:paraId="00661813" w14:textId="77777777" w:rsidTr="002A5E0B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CCBE6" w14:textId="77777777" w:rsidR="004B751C" w:rsidRPr="00144257" w:rsidRDefault="002A5E0B" w:rsidP="006E23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Egyéb, más ágazathoz nem sorolható intézmények és feladatok kiadásai - Polgármesteri Hivatal kiadásai 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6FF62" w14:textId="77777777" w:rsidR="004B751C" w:rsidRDefault="004B751C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18041B9" w14:textId="77777777" w:rsidR="00A61934" w:rsidRPr="003200D7" w:rsidRDefault="00A61934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+246</w:t>
            </w:r>
          </w:p>
        </w:tc>
      </w:tr>
      <w:tr w:rsidR="004B751C" w:rsidRPr="00F14DC1" w14:paraId="30630910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B6376A" w14:textId="77777777" w:rsidR="004B751C" w:rsidRPr="00144257" w:rsidRDefault="002A5E0B" w:rsidP="006E23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Egyéb, más ágazathoz nem sorolható intézmények és feladatok kiadásai – Polgármester, alpolgármesterek, tanácsnokok, választott képviselők és bizottsági tagok juttatásai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78C549" w14:textId="77777777" w:rsidR="004B751C" w:rsidRDefault="004B751C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8355956" w14:textId="77777777" w:rsidR="00A61934" w:rsidRDefault="00A61934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1B10D95" w14:textId="77777777" w:rsidR="00A61934" w:rsidRPr="003200D7" w:rsidRDefault="00A61934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+246</w:t>
            </w:r>
          </w:p>
        </w:tc>
      </w:tr>
      <w:tr w:rsidR="00325D8A" w:rsidRPr="00F14DC1" w14:paraId="4424DE7C" w14:textId="77777777" w:rsidTr="002C24FE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F6F12" w14:textId="77777777" w:rsidR="00325D8A" w:rsidRDefault="00791842" w:rsidP="006E23B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Út-híd fenntartási kiadások – Foltos bevonat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4F197" w14:textId="77777777" w:rsidR="00325D8A" w:rsidRDefault="00791842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-25.000</w:t>
            </w:r>
          </w:p>
        </w:tc>
      </w:tr>
      <w:tr w:rsidR="00325D8A" w:rsidRPr="00F14DC1" w14:paraId="361D9ADA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781077" w14:textId="77777777" w:rsidR="00325D8A" w:rsidRDefault="00791842" w:rsidP="006E23B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Út-híd fenntartási kiadások – Zárt csapadék csatorna fenntartása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1C98C4" w14:textId="77777777" w:rsidR="00325D8A" w:rsidRDefault="00791842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+25.000</w:t>
            </w:r>
          </w:p>
        </w:tc>
      </w:tr>
      <w:tr w:rsidR="004B751C" w:rsidRPr="00F14DC1" w14:paraId="33BF43DA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8CA7C95" w14:textId="77777777" w:rsidR="004B751C" w:rsidRPr="00144257" w:rsidRDefault="00146D33" w:rsidP="006E23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46D33">
              <w:rPr>
                <w:rFonts w:ascii="Calibri" w:hAnsi="Calibri" w:cs="Calibri"/>
                <w:sz w:val="22"/>
                <w:szCs w:val="22"/>
              </w:rPr>
              <w:t>Út-híd fenntartási kiadások – Hézagkiöntés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B1A1C5E" w14:textId="77777777" w:rsidR="004B751C" w:rsidRPr="003200D7" w:rsidRDefault="00325D8A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-7.500</w:t>
            </w:r>
          </w:p>
        </w:tc>
      </w:tr>
      <w:tr w:rsidR="004B751C" w:rsidRPr="00F14DC1" w14:paraId="4348D3C2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9AC5DB" w14:textId="77777777" w:rsidR="004B751C" w:rsidRPr="00144257" w:rsidRDefault="00146D33" w:rsidP="006E23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46D33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kiadások- Szökőkutak előre nem látható hibaelhárítása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A53D3A" w14:textId="77777777" w:rsidR="004B751C" w:rsidRDefault="004B751C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D2A854D" w14:textId="77777777" w:rsidR="00146D33" w:rsidRPr="003200D7" w:rsidRDefault="00146D33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</w:t>
            </w:r>
            <w:r w:rsidR="00325D8A">
              <w:rPr>
                <w:rFonts w:ascii="Calibri" w:hAnsi="Calibri" w:cs="Calibri"/>
                <w:sz w:val="22"/>
                <w:szCs w:val="22"/>
              </w:rPr>
              <w:t>7.500</w:t>
            </w:r>
          </w:p>
        </w:tc>
      </w:tr>
      <w:tr w:rsidR="000D1C90" w:rsidRPr="00F14DC1" w14:paraId="0D68A769" w14:textId="77777777" w:rsidTr="000D1C90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08BD2" w14:textId="77777777" w:rsidR="000D1C90" w:rsidRPr="00146D33" w:rsidRDefault="006876E1" w:rsidP="006E23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Sport ágazat kiadásai – Gyermek és ifjúsági sport támogatása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0E908" w14:textId="77777777" w:rsidR="000D1C90" w:rsidRDefault="006876E1" w:rsidP="004B751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+6.000</w:t>
            </w:r>
          </w:p>
        </w:tc>
      </w:tr>
      <w:tr w:rsidR="006876E1" w:rsidRPr="00F14DC1" w14:paraId="115FB05B" w14:textId="77777777" w:rsidTr="00F172A1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EB0FE9" w14:textId="77777777" w:rsidR="006876E1" w:rsidRPr="00144257" w:rsidRDefault="006876E1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36FE7">
              <w:rPr>
                <w:rFonts w:ascii="Calibri" w:hAnsi="Calibri" w:cs="Calibri"/>
                <w:sz w:val="22"/>
                <w:szCs w:val="22"/>
              </w:rPr>
              <w:t>Tartalékok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CE09EE" w14:textId="77777777" w:rsidR="006876E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-6.000</w:t>
            </w:r>
          </w:p>
        </w:tc>
      </w:tr>
      <w:tr w:rsidR="006876E1" w:rsidRPr="00F14DC1" w14:paraId="7CF3FB03" w14:textId="77777777" w:rsidTr="00F172A1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FD42B7" w14:textId="77777777" w:rsidR="006876E1" w:rsidRPr="00973BF1" w:rsidRDefault="006876E1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Út-híd fenntartási kiadások – Foltos bevonat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F52E09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-1.964</w:t>
            </w:r>
          </w:p>
        </w:tc>
      </w:tr>
      <w:tr w:rsidR="006876E1" w:rsidRPr="00F14DC1" w14:paraId="3CC7FE32" w14:textId="77777777" w:rsidTr="00CA4B1D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1AA16" w14:textId="77777777" w:rsidR="006876E1" w:rsidRPr="00973BF1" w:rsidRDefault="006876E1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Út-híd fenntartási kiadások – Helyreállítások (teljes pályaszerkezet csere)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6DB8A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7F13D43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-21.236</w:t>
            </w:r>
          </w:p>
        </w:tc>
      </w:tr>
      <w:tr w:rsidR="006876E1" w:rsidRPr="00F14DC1" w14:paraId="41ACC4F2" w14:textId="77777777" w:rsidTr="00CA4B1D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F893F" w14:textId="77777777" w:rsidR="006876E1" w:rsidRPr="00973BF1" w:rsidRDefault="006876E1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Út-híd fenntartási kiadások – Kerékpárút fenntartás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121DC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-30.637</w:t>
            </w:r>
          </w:p>
        </w:tc>
      </w:tr>
      <w:tr w:rsidR="006876E1" w:rsidRPr="00F14DC1" w14:paraId="7EC192D8" w14:textId="77777777" w:rsidTr="00CA4B1D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C5175" w14:textId="77777777" w:rsidR="006876E1" w:rsidRPr="00973BF1" w:rsidRDefault="006876E1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Út-híd fenntartási kiadások – Szegélyek javítása, akadálymentesítés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DAB4E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-10.000</w:t>
            </w:r>
          </w:p>
        </w:tc>
      </w:tr>
      <w:tr w:rsidR="006876E1" w:rsidRPr="00F14DC1" w14:paraId="4465D37A" w14:textId="77777777" w:rsidTr="00CA4B1D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B5B8F" w14:textId="77777777" w:rsidR="006876E1" w:rsidRPr="00973BF1" w:rsidRDefault="006876E1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Út-híd fenntartási kiadások – Hidak, műtárgyak üzemeltetése (lemosása)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456CB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162550E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-5.000</w:t>
            </w:r>
          </w:p>
        </w:tc>
      </w:tr>
      <w:tr w:rsidR="006876E1" w:rsidRPr="00F14DC1" w14:paraId="6E48A603" w14:textId="77777777" w:rsidTr="00CA4B1D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EBD8C" w14:textId="77777777" w:rsidR="006876E1" w:rsidRPr="00973BF1" w:rsidRDefault="006876E1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Út-híd fenntartási kiadások - Hídfenntartás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A6F9C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-5.006</w:t>
            </w:r>
          </w:p>
        </w:tc>
      </w:tr>
      <w:tr w:rsidR="006876E1" w:rsidRPr="00F14DC1" w14:paraId="299CA969" w14:textId="77777777" w:rsidTr="00CA4B1D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5A1F8" w14:textId="77777777" w:rsidR="006876E1" w:rsidRPr="00973BF1" w:rsidRDefault="006876E1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Út-híd fenntartási kiadások - Járdafenntartás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3A20C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-25.</w:t>
            </w:r>
            <w:r w:rsidR="00973BF1">
              <w:rPr>
                <w:rFonts w:ascii="Calibri" w:hAnsi="Calibri" w:cs="Calibri"/>
                <w:sz w:val="22"/>
                <w:szCs w:val="22"/>
              </w:rPr>
              <w:t>157</w:t>
            </w:r>
          </w:p>
        </w:tc>
      </w:tr>
      <w:tr w:rsidR="006876E1" w:rsidRPr="00F14DC1" w14:paraId="7962AE47" w14:textId="77777777" w:rsidTr="00C8298A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1BEF24" w14:textId="77777777" w:rsidR="006876E1" w:rsidRPr="00973BF1" w:rsidRDefault="006876E1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Út-híd fenntartási kiadások – 4 parkoló kialakítása, javítása (Éhen Gyula téri, Sz</w:t>
            </w:r>
            <w:r w:rsidR="00694A4D">
              <w:rPr>
                <w:rFonts w:ascii="Calibri" w:hAnsi="Calibri" w:cs="Calibri"/>
                <w:sz w:val="22"/>
                <w:szCs w:val="22"/>
              </w:rPr>
              <w:t>ű</w:t>
            </w:r>
            <w:r w:rsidRPr="00973BF1">
              <w:rPr>
                <w:rFonts w:ascii="Calibri" w:hAnsi="Calibri" w:cs="Calibri"/>
                <w:sz w:val="22"/>
                <w:szCs w:val="22"/>
              </w:rPr>
              <w:t>rcsapó u. 6-8. mögötti, Barátság u. 17-19. melletti, Bartók Béla krt. 40. előtti)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B23BA8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CA74E01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968827C" w14:textId="77777777" w:rsidR="006876E1" w:rsidRPr="00973BF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73BF1">
              <w:rPr>
                <w:rFonts w:ascii="Calibri" w:hAnsi="Calibri" w:cs="Calibri"/>
                <w:sz w:val="22"/>
                <w:szCs w:val="22"/>
              </w:rPr>
              <w:t>+99.0</w:t>
            </w:r>
            <w:r w:rsidR="00973BF1">
              <w:rPr>
                <w:rFonts w:ascii="Calibri" w:hAnsi="Calibri" w:cs="Calibri"/>
                <w:sz w:val="22"/>
                <w:szCs w:val="22"/>
              </w:rPr>
              <w:t>0</w:t>
            </w:r>
            <w:r w:rsidRPr="00973BF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876E1" w:rsidRPr="00F14DC1" w14:paraId="7B7CEB85" w14:textId="77777777" w:rsidTr="00C8298A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C4D4D3" w14:textId="77777777" w:rsidR="006876E1" w:rsidRPr="00144257" w:rsidRDefault="00C8298A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8298A">
              <w:rPr>
                <w:rFonts w:ascii="Calibri" w:hAnsi="Calibri" w:cs="Calibri"/>
                <w:sz w:val="22"/>
                <w:szCs w:val="22"/>
              </w:rPr>
              <w:t xml:space="preserve">Egyéb, más ágazathoz nem sorolható intézmények és feladatok kiadásai – </w:t>
            </w:r>
            <w:r w:rsidR="00BA7EA5">
              <w:rPr>
                <w:rFonts w:ascii="Calibri" w:hAnsi="Calibri" w:cs="Calibri"/>
                <w:sz w:val="22"/>
                <w:szCs w:val="22"/>
              </w:rPr>
              <w:t>Nemzetiségi Önkormányzatok támogatása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258661" w14:textId="77777777" w:rsidR="006876E1" w:rsidRDefault="006876E1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DA12E61" w14:textId="77777777" w:rsidR="00BA7EA5" w:rsidRPr="003200D7" w:rsidRDefault="00BA7EA5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+300</w:t>
            </w:r>
          </w:p>
        </w:tc>
      </w:tr>
      <w:tr w:rsidR="006876E1" w:rsidRPr="00F14DC1" w14:paraId="41799D74" w14:textId="77777777" w:rsidTr="00C11D4C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643492" w14:textId="77777777" w:rsidR="006876E1" w:rsidRPr="00144257" w:rsidRDefault="00BA7EA5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A7EA5">
              <w:rPr>
                <w:rFonts w:ascii="Calibri" w:hAnsi="Calibri" w:cs="Calibri"/>
                <w:sz w:val="22"/>
                <w:szCs w:val="22"/>
              </w:rPr>
              <w:t>Tartalékok - energia árak növekedése miatt képzett tartalék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418434" w14:textId="77777777" w:rsidR="006876E1" w:rsidRPr="003200D7" w:rsidRDefault="00BA7EA5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-300</w:t>
            </w:r>
          </w:p>
        </w:tc>
      </w:tr>
      <w:tr w:rsidR="00883CBC" w:rsidRPr="00F14DC1" w14:paraId="14094ABC" w14:textId="77777777" w:rsidTr="00C11D4C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9A3E75" w14:textId="77777777" w:rsidR="00883CBC" w:rsidRDefault="00883CBC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5B0E1B" w14:textId="77777777" w:rsidR="00883CBC" w:rsidRPr="00BA7EA5" w:rsidRDefault="00883CBC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390889" w14:textId="77777777" w:rsidR="00883CBC" w:rsidRDefault="00883CBC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1D4C" w:rsidRPr="00F14DC1" w14:paraId="3D73C998" w14:textId="77777777" w:rsidTr="00C11D4C"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384D567" w14:textId="77777777" w:rsidR="00C11D4C" w:rsidRPr="00BA7EA5" w:rsidRDefault="00C11D4C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D4C">
              <w:rPr>
                <w:rFonts w:ascii="Calibri" w:hAnsi="Calibri" w:cs="Calibri"/>
                <w:sz w:val="22"/>
                <w:szCs w:val="22"/>
              </w:rPr>
              <w:lastRenderedPageBreak/>
              <w:t>Kommunális, városüzemeltetési és környezetvédelmi kiadások - Illegális hulladéklerakás</w:t>
            </w:r>
          </w:p>
        </w:tc>
        <w:tc>
          <w:tcPr>
            <w:tcW w:w="20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FBB8B8" w14:textId="77777777" w:rsidR="00C11D4C" w:rsidRDefault="00C11D4C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8EA3EB1" w14:textId="77777777" w:rsidR="00C11D4C" w:rsidRDefault="00C11D4C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-12.289</w:t>
            </w:r>
          </w:p>
        </w:tc>
      </w:tr>
      <w:tr w:rsidR="00C11D4C" w:rsidRPr="00F14DC1" w14:paraId="2EF3C0DA" w14:textId="77777777" w:rsidTr="00D321EF">
        <w:tc>
          <w:tcPr>
            <w:tcW w:w="6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099607" w14:textId="77777777" w:rsidR="00C11D4C" w:rsidRPr="00BA7EA5" w:rsidRDefault="00C11D4C" w:rsidP="006876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D4C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C11D4C">
              <w:rPr>
                <w:rFonts w:ascii="Calibri" w:hAnsi="Calibri" w:cs="Calibri"/>
                <w:sz w:val="22"/>
                <w:szCs w:val="22"/>
              </w:rPr>
              <w:t xml:space="preserve"> Települési hulladékkezelés és köztisztasági tevékenység és hó eltakarítás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CD3ACB" w14:textId="77777777" w:rsidR="00C11D4C" w:rsidRDefault="00C11D4C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C557D0E" w14:textId="77777777" w:rsidR="00C11D4C" w:rsidRDefault="00C11D4C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6AB2693" w14:textId="77777777" w:rsidR="00C11D4C" w:rsidRDefault="00C11D4C" w:rsidP="006876E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+12.289</w:t>
            </w:r>
          </w:p>
        </w:tc>
      </w:tr>
    </w:tbl>
    <w:p w14:paraId="583A30CD" w14:textId="77777777" w:rsidR="00FE78E1" w:rsidRPr="00F14DC1" w:rsidRDefault="00FE78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4B6F1EDC" w14:textId="77777777" w:rsidR="00500B0C" w:rsidRPr="00F14DC1" w:rsidRDefault="00500B0C" w:rsidP="00500B0C">
      <w:pPr>
        <w:tabs>
          <w:tab w:val="left" w:pos="1080"/>
        </w:tabs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3200D7">
        <w:rPr>
          <w:rFonts w:ascii="Calibri" w:hAnsi="Calibri" w:cs="Calibri"/>
          <w:b/>
          <w:bCs/>
          <w:iCs/>
          <w:sz w:val="22"/>
          <w:szCs w:val="22"/>
        </w:rPr>
        <w:t>e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egyenleg: 0 eFt</w:t>
      </w:r>
    </w:p>
    <w:p w14:paraId="00FFB777" w14:textId="77777777" w:rsidR="00500B0C" w:rsidRPr="00F14DC1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D2E0607" w14:textId="77777777" w:rsidR="004E27F0" w:rsidRDefault="004E27F0" w:rsidP="00295143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9AA246C" w14:textId="77777777" w:rsidR="00295143" w:rsidRPr="00F14DC1" w:rsidRDefault="00295143" w:rsidP="00295143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</w:rPr>
        <w:t>f) Ágazati kiadásokból, polgármesteri keretből történt átcsoportosítások:</w:t>
      </w:r>
    </w:p>
    <w:p w14:paraId="2F43F537" w14:textId="77777777" w:rsidR="00295143" w:rsidRPr="00F14DC1" w:rsidRDefault="00295143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D22F860" w14:textId="77777777" w:rsidR="004C6AD7" w:rsidRPr="004B3FEA" w:rsidRDefault="0042199D" w:rsidP="004C6AD7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Végrehajtásra került a 243/2023. (X.25.) SzLB</w:t>
      </w:r>
      <w:r w:rsidR="00AA08FE">
        <w:rPr>
          <w:rFonts w:ascii="Calibri" w:hAnsi="Calibri" w:cs="Calibri"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</w:rPr>
        <w:t>sz.határozat alapján 1.900 eFt összegben előirányzat átcsoportosítása a „Kariatida tanulmányi támogatás rendszerének működtetése -„Szombathely Szent Márton városa„ Gyebrovszki János Alapítvány” tételsor</w:t>
      </w:r>
      <w:r w:rsidR="004C6AD7">
        <w:rPr>
          <w:rFonts w:ascii="Calibri" w:hAnsi="Calibri" w:cs="Calibri"/>
          <w:bCs/>
          <w:iCs/>
          <w:sz w:val="22"/>
          <w:szCs w:val="22"/>
        </w:rPr>
        <w:t xml:space="preserve">ról a </w:t>
      </w:r>
      <w:r w:rsidR="004C6AD7" w:rsidRPr="004B3FEA">
        <w:rPr>
          <w:rFonts w:ascii="Calibri" w:hAnsi="Calibri" w:cs="Calibri"/>
          <w:bCs/>
          <w:iCs/>
          <w:sz w:val="22"/>
          <w:szCs w:val="22"/>
        </w:rPr>
        <w:t>„</w:t>
      </w:r>
      <w:r w:rsidR="004C6AD7" w:rsidRPr="004B3FEA">
        <w:rPr>
          <w:rFonts w:ascii="Calibri" w:hAnsi="Calibri" w:cs="Arial"/>
          <w:bCs/>
          <w:sz w:val="22"/>
          <w:szCs w:val="22"/>
        </w:rPr>
        <w:t xml:space="preserve">Szociális és köznevelési intézmények év végi karácsonyi ajándékozás és rászoruló kiskorú gyermeket nevelő családok év végi karácsonyi ajándékozása” tételsorra. </w:t>
      </w:r>
    </w:p>
    <w:p w14:paraId="219F59F6" w14:textId="77777777" w:rsidR="0042199D" w:rsidRDefault="0042199D" w:rsidP="00780F29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794AF919" w14:textId="77777777" w:rsidR="004B3FEA" w:rsidRPr="004B3FEA" w:rsidRDefault="0042199D" w:rsidP="004B3FEA">
      <w:pPr>
        <w:jc w:val="both"/>
        <w:rPr>
          <w:rFonts w:ascii="Calibri" w:hAnsi="Calibri" w:cs="Arial"/>
          <w:bCs/>
          <w:sz w:val="22"/>
          <w:szCs w:val="22"/>
        </w:rPr>
      </w:pPr>
      <w:r w:rsidRPr="004B3FEA">
        <w:rPr>
          <w:rFonts w:ascii="Calibri" w:hAnsi="Calibri" w:cs="Calibri"/>
          <w:bCs/>
          <w:iCs/>
          <w:sz w:val="22"/>
          <w:szCs w:val="22"/>
        </w:rPr>
        <w:t>A 244/2022. (X.25.) S</w:t>
      </w:r>
      <w:r w:rsidR="00AA08FE" w:rsidRPr="004B3FEA">
        <w:rPr>
          <w:rFonts w:ascii="Calibri" w:hAnsi="Calibri" w:cs="Calibri"/>
          <w:bCs/>
          <w:iCs/>
          <w:sz w:val="22"/>
          <w:szCs w:val="22"/>
        </w:rPr>
        <w:t>z</w:t>
      </w:r>
      <w:r w:rsidRPr="004B3FEA">
        <w:rPr>
          <w:rFonts w:ascii="Calibri" w:hAnsi="Calibri" w:cs="Calibri"/>
          <w:bCs/>
          <w:iCs/>
          <w:sz w:val="22"/>
          <w:szCs w:val="22"/>
        </w:rPr>
        <w:t>LB</w:t>
      </w:r>
      <w:r w:rsidR="00AA08FE" w:rsidRPr="004B3FEA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4B3FEA" w:rsidRPr="004B3FEA">
        <w:rPr>
          <w:rFonts w:ascii="Calibri" w:hAnsi="Calibri" w:cs="Calibri"/>
          <w:bCs/>
          <w:iCs/>
          <w:sz w:val="22"/>
          <w:szCs w:val="22"/>
        </w:rPr>
        <w:t xml:space="preserve">sz. határozat alapján </w:t>
      </w:r>
      <w:r w:rsidRPr="004B3FEA">
        <w:rPr>
          <w:rFonts w:ascii="Calibri" w:hAnsi="Calibri" w:cs="Calibri"/>
          <w:bCs/>
          <w:iCs/>
          <w:sz w:val="22"/>
          <w:szCs w:val="22"/>
        </w:rPr>
        <w:t xml:space="preserve">szociális és köznevelési intézmények részére év végi karácsonyi ajándékozásra a „Segély önkormányzati támogatásból” tételsor terhére 4.400 eFt összegű támogatás </w:t>
      </w:r>
      <w:r w:rsidR="004B3FEA" w:rsidRPr="004B3FEA">
        <w:rPr>
          <w:rFonts w:ascii="Calibri" w:hAnsi="Calibri" w:cs="Calibri"/>
          <w:bCs/>
          <w:iCs/>
          <w:sz w:val="22"/>
          <w:szCs w:val="22"/>
        </w:rPr>
        <w:t>nyújtására került sor, így az előirányzat részben átcsoportosításra került az érintett intézmények költségvetésébe, részben pedig a „</w:t>
      </w:r>
      <w:r w:rsidR="004B3FEA" w:rsidRPr="004B3FEA">
        <w:rPr>
          <w:rFonts w:ascii="Calibri" w:hAnsi="Calibri" w:cs="Arial"/>
          <w:bCs/>
          <w:sz w:val="22"/>
          <w:szCs w:val="22"/>
        </w:rPr>
        <w:t xml:space="preserve">Szociális és köznevelési intézmények év végi karácsonyi ajándékozás és rászoruló kiskorú gyermeket nevelő családok év végi karácsonyi ajándékozása” tételsorra. </w:t>
      </w:r>
    </w:p>
    <w:p w14:paraId="4C431FE7" w14:textId="77777777" w:rsidR="0042199D" w:rsidRPr="004B3FEA" w:rsidRDefault="0042199D" w:rsidP="00780F29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462BC971" w14:textId="77777777" w:rsidR="00AC3C0D" w:rsidRPr="00CF37BF" w:rsidRDefault="00AC3C0D" w:rsidP="00AC3C0D">
      <w:pPr>
        <w:jc w:val="both"/>
        <w:rPr>
          <w:rFonts w:ascii="Calibri" w:hAnsi="Calibri"/>
          <w:bCs/>
          <w:sz w:val="22"/>
          <w:szCs w:val="22"/>
        </w:rPr>
      </w:pPr>
      <w:r w:rsidRPr="00CF37BF">
        <w:rPr>
          <w:rFonts w:ascii="Calibri" w:hAnsi="Calibri" w:cs="Calibri"/>
          <w:bCs/>
          <w:iCs/>
          <w:color w:val="000000"/>
          <w:sz w:val="22"/>
          <w:szCs w:val="22"/>
        </w:rPr>
        <w:t>Az 52/2023. (X.24.) BKKB határozat alapján 300 eFt összeg átcsoportosításra került a „</w:t>
      </w:r>
      <w:r w:rsidRPr="00CF37BF">
        <w:rPr>
          <w:rFonts w:ascii="Calibri" w:hAnsi="Calibri"/>
          <w:color w:val="000000"/>
          <w:sz w:val="22"/>
          <w:szCs w:val="22"/>
        </w:rPr>
        <w:t>Bűnmegelőzési és katasztrófavédelmi kiadások; egyéb kiadások, támogatások” tételsorról a Polgármesteri Hivatal</w:t>
      </w:r>
      <w:r w:rsidRPr="00CF37BF">
        <w:rPr>
          <w:rFonts w:ascii="Calibri" w:hAnsi="Calibri"/>
          <w:sz w:val="22"/>
          <w:szCs w:val="22"/>
        </w:rPr>
        <w:t xml:space="preserve"> költségvetésébe. Az átcsoportosítás célja a határozatban foglaltaknak megfelelően a Közterület felügyelet részére a </w:t>
      </w:r>
      <w:r w:rsidRPr="00CF37BF">
        <w:rPr>
          <w:rFonts w:ascii="Calibri" w:hAnsi="Calibri"/>
          <w:bCs/>
          <w:sz w:val="22"/>
          <w:szCs w:val="22"/>
        </w:rPr>
        <w:t xml:space="preserve">belváros közbiztonság megerősítése érdekében túlszolgálat elrendelésének költségeihez és egyéni ruházat beszerzés költségeihez való hozzájárulás. </w:t>
      </w:r>
    </w:p>
    <w:p w14:paraId="18DBDCCE" w14:textId="77777777" w:rsidR="00AC3C0D" w:rsidRPr="00CF37BF" w:rsidRDefault="00AC3C0D" w:rsidP="00AC3C0D">
      <w:pPr>
        <w:jc w:val="both"/>
        <w:rPr>
          <w:rFonts w:ascii="Calibri" w:hAnsi="Calibri"/>
          <w:sz w:val="22"/>
          <w:szCs w:val="22"/>
        </w:rPr>
      </w:pPr>
    </w:p>
    <w:p w14:paraId="45B27BC4" w14:textId="77777777" w:rsidR="00295143" w:rsidRPr="001274CB" w:rsidRDefault="001274CB" w:rsidP="001274CB">
      <w:pPr>
        <w:jc w:val="both"/>
        <w:rPr>
          <w:rFonts w:ascii="Calibri" w:hAnsi="Calibri" w:cs="Arial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</w:t>
      </w:r>
      <w:r w:rsidR="00DD3C5E" w:rsidRPr="001274CB">
        <w:rPr>
          <w:rFonts w:ascii="Calibri" w:hAnsi="Calibri" w:cs="Calibri"/>
          <w:bCs/>
          <w:iCs/>
          <w:sz w:val="22"/>
          <w:szCs w:val="22"/>
        </w:rPr>
        <w:t xml:space="preserve"> szakmai bizottságok által hozott határozatok </w:t>
      </w:r>
      <w:r w:rsidRPr="001274CB">
        <w:rPr>
          <w:rFonts w:ascii="Calibri" w:hAnsi="Calibri" w:cs="Calibri"/>
          <w:bCs/>
          <w:iCs/>
          <w:sz w:val="22"/>
          <w:szCs w:val="22"/>
        </w:rPr>
        <w:t>(</w:t>
      </w:r>
      <w:r w:rsidRPr="001274CB">
        <w:rPr>
          <w:rFonts w:ascii="Calibri" w:hAnsi="Calibri" w:cs="Arial"/>
          <w:bCs/>
          <w:iCs/>
          <w:sz w:val="22"/>
          <w:szCs w:val="22"/>
        </w:rPr>
        <w:t xml:space="preserve">137-140/2023.(X.24.) KOCB </w:t>
      </w:r>
      <w:r w:rsidR="00AA08FE">
        <w:rPr>
          <w:rFonts w:ascii="Calibri" w:hAnsi="Calibri" w:cs="Arial"/>
          <w:bCs/>
          <w:iCs/>
          <w:sz w:val="22"/>
          <w:szCs w:val="22"/>
        </w:rPr>
        <w:t xml:space="preserve">sz. </w:t>
      </w:r>
      <w:r w:rsidRPr="001274CB">
        <w:rPr>
          <w:rFonts w:ascii="Calibri" w:hAnsi="Calibri" w:cs="Arial"/>
          <w:bCs/>
          <w:iCs/>
          <w:sz w:val="22"/>
          <w:szCs w:val="22"/>
        </w:rPr>
        <w:t>határozatok</w:t>
      </w:r>
      <w:r w:rsidR="00593DFD">
        <w:rPr>
          <w:rFonts w:ascii="Calibri" w:hAnsi="Calibri" w:cs="Arial"/>
          <w:bCs/>
          <w:iCs/>
          <w:sz w:val="22"/>
          <w:szCs w:val="22"/>
        </w:rPr>
        <w:t>, és a 96</w:t>
      </w:r>
      <w:r w:rsidR="005404E6">
        <w:rPr>
          <w:rFonts w:ascii="Calibri" w:hAnsi="Calibri" w:cs="Arial"/>
          <w:bCs/>
          <w:iCs/>
          <w:sz w:val="22"/>
          <w:szCs w:val="22"/>
        </w:rPr>
        <w:t>/2023. (IX.26.) KOCB sz. határozat)</w:t>
      </w:r>
      <w:r w:rsidRPr="001274CB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DD3C5E" w:rsidRPr="001274CB">
        <w:rPr>
          <w:rFonts w:ascii="Calibri" w:hAnsi="Calibri" w:cs="Calibri"/>
          <w:bCs/>
          <w:iCs/>
          <w:sz w:val="22"/>
          <w:szCs w:val="22"/>
        </w:rPr>
        <w:t xml:space="preserve">alapján meghatározott tételek átcsoportosításra kerültek az ágazatok előirányzatairól az intézményi </w:t>
      </w:r>
      <w:r>
        <w:rPr>
          <w:rFonts w:ascii="Calibri" w:hAnsi="Calibri" w:cs="Calibri"/>
          <w:bCs/>
          <w:iCs/>
          <w:sz w:val="22"/>
          <w:szCs w:val="22"/>
        </w:rPr>
        <w:t xml:space="preserve">(Szombathelyi Köznevelési GAMESZ) </w:t>
      </w:r>
      <w:r w:rsidR="00DD3C5E" w:rsidRPr="001274CB">
        <w:rPr>
          <w:rFonts w:ascii="Calibri" w:hAnsi="Calibri" w:cs="Calibri"/>
          <w:bCs/>
          <w:iCs/>
          <w:sz w:val="22"/>
          <w:szCs w:val="22"/>
        </w:rPr>
        <w:t>költségvetési előirányzatok közé. E módosítások többletforrás igénnyel nem jártak.</w:t>
      </w:r>
    </w:p>
    <w:p w14:paraId="6B42D921" w14:textId="77777777" w:rsidR="0090196C" w:rsidRDefault="0090196C" w:rsidP="001274CB">
      <w:pPr>
        <w:ind w:left="360"/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7E90B966" w14:textId="77777777" w:rsidR="00295143" w:rsidRPr="00F14DC1" w:rsidRDefault="00295143" w:rsidP="0090196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 eFt</w:t>
      </w:r>
    </w:p>
    <w:p w14:paraId="11258C59" w14:textId="77777777" w:rsidR="007154D9" w:rsidRDefault="007154D9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885E368" w14:textId="77777777" w:rsidR="00500B0C" w:rsidRPr="00F14DC1" w:rsidRDefault="00295143" w:rsidP="00500B0C">
      <w:pPr>
        <w:keepNext/>
        <w:jc w:val="both"/>
        <w:outlineLvl w:val="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) Egyéb átcsoportosítások:</w:t>
      </w:r>
    </w:p>
    <w:p w14:paraId="73720C02" w14:textId="77777777" w:rsidR="00FB41D2" w:rsidRDefault="00FB41D2" w:rsidP="00B13601">
      <w:pPr>
        <w:jc w:val="both"/>
        <w:rPr>
          <w:rFonts w:ascii="Calibri" w:hAnsi="Calibri" w:cs="Calibri"/>
          <w:sz w:val="22"/>
          <w:szCs w:val="22"/>
        </w:rPr>
      </w:pPr>
    </w:p>
    <w:p w14:paraId="794392E6" w14:textId="77777777" w:rsidR="00FB41D2" w:rsidRDefault="00FB41D2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B41D2">
        <w:rPr>
          <w:rFonts w:ascii="Calibri" w:hAnsi="Calibri" w:cs="Calibri"/>
          <w:sz w:val="22"/>
          <w:szCs w:val="22"/>
        </w:rPr>
        <w:t>Az átcsoportosítás keretében egyenleget nem érintő változások kerültek végrehajtásra, melyet szakmai indokok támasztanak alá, továbbá technikai jellegűek. (</w:t>
      </w:r>
      <w:r w:rsidRPr="00652DCD">
        <w:rPr>
          <w:rFonts w:ascii="Calibri" w:hAnsi="Calibri" w:cs="Calibri"/>
          <w:sz w:val="22"/>
          <w:szCs w:val="22"/>
        </w:rPr>
        <w:t>Jelentősebb nagyságrendűnek</w:t>
      </w:r>
      <w:r w:rsidRPr="00FB41D2">
        <w:rPr>
          <w:rFonts w:ascii="Calibri" w:hAnsi="Calibri" w:cs="Calibri"/>
          <w:sz w:val="22"/>
          <w:szCs w:val="22"/>
        </w:rPr>
        <w:t xml:space="preserve"> tekintendő tételek bemutatása.)</w:t>
      </w:r>
    </w:p>
    <w:p w14:paraId="30676A3B" w14:textId="77777777" w:rsidR="00386485" w:rsidRPr="006D7934" w:rsidRDefault="00386485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0A6329D6" w14:textId="77777777" w:rsidR="00CB689B" w:rsidRPr="006D7934" w:rsidRDefault="00386485" w:rsidP="009D66EF">
      <w:pPr>
        <w:numPr>
          <w:ilvl w:val="0"/>
          <w:numId w:val="24"/>
        </w:numPr>
        <w:tabs>
          <w:tab w:val="left" w:pos="840"/>
        </w:tabs>
        <w:ind w:left="851" w:hanging="131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6D7934">
        <w:rPr>
          <w:rFonts w:ascii="Calibri" w:hAnsi="Calibri" w:cs="Calibri"/>
          <w:bCs/>
          <w:iCs/>
          <w:sz w:val="22"/>
          <w:szCs w:val="22"/>
        </w:rPr>
        <w:t xml:space="preserve">Az </w:t>
      </w:r>
      <w:r w:rsidR="009D66EF" w:rsidRPr="006D7934">
        <w:rPr>
          <w:rFonts w:ascii="Calibri" w:hAnsi="Calibri" w:cs="Calibri"/>
          <w:bCs/>
          <w:iCs/>
          <w:sz w:val="22"/>
          <w:szCs w:val="22"/>
        </w:rPr>
        <w:t>„</w:t>
      </w:r>
      <w:r w:rsidRPr="006D7934">
        <w:rPr>
          <w:rFonts w:ascii="Calibri" w:hAnsi="Calibri" w:cs="Calibri"/>
          <w:bCs/>
          <w:iCs/>
          <w:sz w:val="22"/>
          <w:szCs w:val="22"/>
        </w:rPr>
        <w:t>egyéb kulturális rendezvények</w:t>
      </w:r>
      <w:r w:rsidR="009D66EF" w:rsidRPr="006D7934">
        <w:rPr>
          <w:rFonts w:ascii="Calibri" w:hAnsi="Calibri" w:cs="Calibri"/>
          <w:bCs/>
          <w:iCs/>
          <w:sz w:val="22"/>
          <w:szCs w:val="22"/>
        </w:rPr>
        <w:t>”</w:t>
      </w:r>
      <w:r w:rsidRPr="006D7934">
        <w:rPr>
          <w:rFonts w:ascii="Calibri" w:hAnsi="Calibri" w:cs="Calibri"/>
          <w:bCs/>
          <w:iCs/>
          <w:sz w:val="22"/>
          <w:szCs w:val="22"/>
        </w:rPr>
        <w:t xml:space="preserve"> tételsor 2023. évi tényleges teljesítési adatainak figyelembevétele mellett javasolt 612 eFt összeg átcsoportosítása a „Savaria Karnevál megrendezése, kulturális rendezvények, fesztiválok megrendezése (Savaria Turizmus Nkft., egyéb kiadások, stb.)” tételsorról</w:t>
      </w:r>
      <w:r w:rsidR="00EE62FC" w:rsidRPr="006D7934">
        <w:rPr>
          <w:rFonts w:ascii="Calibri" w:hAnsi="Calibri" w:cs="Calibri"/>
          <w:bCs/>
          <w:iCs/>
          <w:sz w:val="22"/>
          <w:szCs w:val="22"/>
        </w:rPr>
        <w:t xml:space="preserve">.     </w:t>
      </w:r>
    </w:p>
    <w:p w14:paraId="1948A666" w14:textId="77777777" w:rsidR="00EE62FC" w:rsidRPr="006D7934" w:rsidRDefault="00EE62FC" w:rsidP="00EE62FC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6D7934">
        <w:rPr>
          <w:rFonts w:ascii="Calibri" w:hAnsi="Calibri" w:cs="Calibri"/>
          <w:sz w:val="22"/>
          <w:szCs w:val="22"/>
        </w:rPr>
        <w:t xml:space="preserve">A 2023. </w:t>
      </w:r>
      <w:r w:rsidR="00B2636F" w:rsidRPr="006D7934">
        <w:rPr>
          <w:rFonts w:ascii="Calibri" w:hAnsi="Calibri" w:cs="Calibri"/>
          <w:sz w:val="22"/>
          <w:szCs w:val="22"/>
        </w:rPr>
        <w:t xml:space="preserve">évi </w:t>
      </w:r>
      <w:r w:rsidRPr="006D7934">
        <w:rPr>
          <w:rFonts w:ascii="Calibri" w:hAnsi="Calibri" w:cs="Calibri"/>
          <w:sz w:val="22"/>
          <w:szCs w:val="22"/>
        </w:rPr>
        <w:t xml:space="preserve">elszámolások alapján a „Szünidei gyermekétkeztetés” tételsorról </w:t>
      </w:r>
      <w:r w:rsidR="00AA491C" w:rsidRPr="006D7934">
        <w:rPr>
          <w:rFonts w:ascii="Calibri" w:hAnsi="Calibri" w:cs="Calibri"/>
          <w:sz w:val="22"/>
          <w:szCs w:val="22"/>
        </w:rPr>
        <w:t>264</w:t>
      </w:r>
      <w:r w:rsidRPr="006D7934">
        <w:rPr>
          <w:rFonts w:ascii="Calibri" w:hAnsi="Calibri" w:cs="Calibri"/>
          <w:sz w:val="22"/>
          <w:szCs w:val="22"/>
        </w:rPr>
        <w:t xml:space="preserve"> eFt összegű előirányzat átcsoportosításra került a feladatot ellátó Pálos Károly Szociális Szolgáltató Központ és Gyermekjóléti Szolgálat intézmény költségvetésébe.</w:t>
      </w:r>
    </w:p>
    <w:p w14:paraId="13245E9D" w14:textId="77777777" w:rsidR="00BA288E" w:rsidRPr="006D7934" w:rsidRDefault="00BA288E" w:rsidP="00E83785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b/>
          <w:sz w:val="22"/>
          <w:szCs w:val="22"/>
        </w:rPr>
      </w:pPr>
      <w:r w:rsidRPr="006D7934">
        <w:rPr>
          <w:rFonts w:ascii="Calibri" w:hAnsi="Calibri" w:cs="Calibri"/>
          <w:sz w:val="22"/>
          <w:szCs w:val="22"/>
        </w:rPr>
        <w:lastRenderedPageBreak/>
        <w:t xml:space="preserve">A </w:t>
      </w:r>
      <w:bookmarkStart w:id="0" w:name="_Hlk155686804"/>
      <w:r w:rsidRPr="006D7934">
        <w:rPr>
          <w:rFonts w:ascii="Calibri" w:hAnsi="Calibri" w:cs="Calibri"/>
          <w:sz w:val="22"/>
          <w:szCs w:val="22"/>
        </w:rPr>
        <w:t>„</w:t>
      </w:r>
      <w:r w:rsidRPr="006D7934">
        <w:rPr>
          <w:rFonts w:ascii="Calibri" w:hAnsi="Calibri"/>
          <w:sz w:val="22"/>
          <w:szCs w:val="22"/>
        </w:rPr>
        <w:t xml:space="preserve">Projektek - önerő, hozzájárulás, előkészítés” tételsorról </w:t>
      </w:r>
      <w:bookmarkEnd w:id="0"/>
      <w:r w:rsidRPr="006D7934">
        <w:rPr>
          <w:rFonts w:ascii="Calibri" w:hAnsi="Calibri"/>
          <w:sz w:val="22"/>
          <w:szCs w:val="22"/>
        </w:rPr>
        <w:t xml:space="preserve">3.063 eFt </w:t>
      </w:r>
      <w:r w:rsidR="00E83785" w:rsidRPr="006D7934">
        <w:rPr>
          <w:rFonts w:ascii="Calibri" w:hAnsi="Calibri"/>
          <w:sz w:val="22"/>
          <w:szCs w:val="22"/>
        </w:rPr>
        <w:t>átcsoportosításra került a „</w:t>
      </w:r>
      <w:r w:rsidRPr="006D7934">
        <w:rPr>
          <w:rFonts w:ascii="Calibri" w:hAnsi="Calibri"/>
          <w:sz w:val="22"/>
          <w:szCs w:val="22"/>
        </w:rPr>
        <w:t xml:space="preserve">RRF-1.1.2-21-2021-0007 Demográfiai és köznevelési bölcsődei nevelés fejlesztése Új bölcsőde építése Szombathely Szentkirályi városrészen </w:t>
      </w:r>
      <w:r w:rsidR="00E83785" w:rsidRPr="006D7934">
        <w:rPr>
          <w:rFonts w:ascii="Calibri" w:hAnsi="Calibri"/>
          <w:sz w:val="22"/>
          <w:szCs w:val="22"/>
        </w:rPr>
        <w:t>–</w:t>
      </w:r>
      <w:r w:rsidRPr="006D7934">
        <w:rPr>
          <w:rFonts w:ascii="Calibri" w:hAnsi="Calibri"/>
          <w:sz w:val="22"/>
          <w:szCs w:val="22"/>
        </w:rPr>
        <w:t xml:space="preserve"> hozzájárulás</w:t>
      </w:r>
      <w:r w:rsidR="00E83785" w:rsidRPr="006D7934">
        <w:rPr>
          <w:rFonts w:ascii="Calibri" w:hAnsi="Calibri"/>
          <w:sz w:val="22"/>
          <w:szCs w:val="22"/>
        </w:rPr>
        <w:t xml:space="preserve">” tételsorra. </w:t>
      </w:r>
      <w:r w:rsidR="00D96840" w:rsidRPr="006D7934">
        <w:rPr>
          <w:rFonts w:ascii="Calibri" w:hAnsi="Calibri"/>
          <w:sz w:val="22"/>
          <w:szCs w:val="22"/>
        </w:rPr>
        <w:t xml:space="preserve">Ezen összegből az EON csatlakozási díj kiadásai kerültek kifizetésre. </w:t>
      </w:r>
    </w:p>
    <w:p w14:paraId="754E726A" w14:textId="77777777" w:rsidR="009900FA" w:rsidRPr="006D7934" w:rsidRDefault="009900FA" w:rsidP="00E83785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b/>
          <w:sz w:val="22"/>
          <w:szCs w:val="22"/>
        </w:rPr>
      </w:pPr>
      <w:r w:rsidRPr="006D7934">
        <w:rPr>
          <w:rFonts w:ascii="Calibri" w:hAnsi="Calibri" w:cs="Calibri"/>
          <w:sz w:val="22"/>
          <w:szCs w:val="22"/>
        </w:rPr>
        <w:t>277 eFt összeg került átcsoportosításra a Polgármesteri Hivatal költségvetésébe, a „Aktív időskor Szombathelyen program” Hivatalban felmerült költségeinek finanszírozása érdekében az azonos elnevezésű költségvetési előirányzat terhére.</w:t>
      </w:r>
      <w:r w:rsidRPr="006D7934">
        <w:rPr>
          <w:rFonts w:ascii="Calibri" w:hAnsi="Calibri" w:cs="Calibri"/>
          <w:b/>
          <w:sz w:val="22"/>
          <w:szCs w:val="22"/>
        </w:rPr>
        <w:t xml:space="preserve"> </w:t>
      </w:r>
    </w:p>
    <w:p w14:paraId="5D88545A" w14:textId="77777777" w:rsidR="00807D99" w:rsidRDefault="00807D99" w:rsidP="00E83785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bCs/>
          <w:sz w:val="22"/>
          <w:szCs w:val="22"/>
        </w:rPr>
      </w:pPr>
      <w:r w:rsidRPr="00D96840">
        <w:rPr>
          <w:rFonts w:ascii="Calibri" w:hAnsi="Calibri" w:cs="Calibri"/>
          <w:bCs/>
          <w:sz w:val="22"/>
          <w:szCs w:val="22"/>
        </w:rPr>
        <w:t>A BM támogatás - belterületi útfejlesztések, Gyöngyöspatak hídrekonstrukció, vásárcsarnok környékének rekonstrukciója, kapcsolódó parkolók kialakítása, Víztorony és környezetének fejlesztése II.ütem tételsorra 6.922 eFt összeg került átcsoportosításra a hozzájárulás tételsorról, mivel</w:t>
      </w:r>
      <w:r w:rsidR="00D96840" w:rsidRPr="00D96840">
        <w:rPr>
          <w:rFonts w:ascii="Calibri" w:hAnsi="Calibri" w:cs="Calibri"/>
          <w:bCs/>
          <w:sz w:val="22"/>
          <w:szCs w:val="22"/>
        </w:rPr>
        <w:t xml:space="preserve"> a projekt támogatói okiratának módosítására került sor, így az elszámolható és nem elszámolható kiadásokat ennek megfelelően volt indokolt rendezni. </w:t>
      </w:r>
    </w:p>
    <w:p w14:paraId="5218E6AC" w14:textId="77777777" w:rsidR="002346BB" w:rsidRDefault="002346BB" w:rsidP="00E83785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bCs/>
          <w:sz w:val="22"/>
          <w:szCs w:val="22"/>
        </w:rPr>
      </w:pPr>
      <w:bookmarkStart w:id="1" w:name="_Hlk155948341"/>
      <w:r>
        <w:rPr>
          <w:rFonts w:ascii="Calibri" w:hAnsi="Calibri" w:cs="Calibri"/>
          <w:bCs/>
          <w:sz w:val="22"/>
          <w:szCs w:val="22"/>
        </w:rPr>
        <w:t xml:space="preserve">A </w:t>
      </w:r>
      <w:r w:rsidRPr="002346BB">
        <w:rPr>
          <w:rFonts w:ascii="Calibri" w:hAnsi="Calibri" w:cs="Calibri"/>
          <w:bCs/>
          <w:sz w:val="22"/>
          <w:szCs w:val="22"/>
        </w:rPr>
        <w:t>TOP Plusz 1.3.1.-2022-00001 Fenntartható városfejlesztés Szombathelyen</w:t>
      </w:r>
      <w:r>
        <w:rPr>
          <w:rFonts w:ascii="Calibri" w:hAnsi="Calibri" w:cs="Calibri"/>
          <w:bCs/>
          <w:sz w:val="22"/>
          <w:szCs w:val="22"/>
        </w:rPr>
        <w:t xml:space="preserve"> elnevezésű projekt előirányzatából 1.771 eFt összeg került átcsoportosításra a Polgármesteri Hivatal költségvetésébe, a projektben elszámolható személyi juttatások és járulékai fedezetének biztosítása érdekében. </w:t>
      </w:r>
    </w:p>
    <w:bookmarkEnd w:id="1"/>
    <w:p w14:paraId="2056367E" w14:textId="77777777" w:rsidR="002346BB" w:rsidRPr="00D96840" w:rsidRDefault="009F0426" w:rsidP="00E83785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Az „</w:t>
      </w:r>
      <w:r w:rsidRPr="009F0426">
        <w:rPr>
          <w:rFonts w:ascii="Calibri" w:hAnsi="Calibri" w:cs="Calibri"/>
          <w:bCs/>
          <w:sz w:val="22"/>
          <w:szCs w:val="22"/>
        </w:rPr>
        <w:t xml:space="preserve">ITM támogatás - Zanati kerékpárút fejlesztése </w:t>
      </w:r>
      <w:r>
        <w:rPr>
          <w:rFonts w:ascii="Calibri" w:hAnsi="Calibri" w:cs="Calibri"/>
          <w:bCs/>
          <w:sz w:val="22"/>
          <w:szCs w:val="22"/>
        </w:rPr>
        <w:t>–</w:t>
      </w:r>
      <w:r w:rsidRPr="009F0426">
        <w:rPr>
          <w:rFonts w:ascii="Calibri" w:hAnsi="Calibri" w:cs="Calibri"/>
          <w:bCs/>
          <w:sz w:val="22"/>
          <w:szCs w:val="22"/>
        </w:rPr>
        <w:t xml:space="preserve"> hozzájárulás</w:t>
      </w:r>
      <w:r>
        <w:rPr>
          <w:rFonts w:ascii="Calibri" w:hAnsi="Calibri" w:cs="Calibri"/>
          <w:bCs/>
          <w:sz w:val="22"/>
          <w:szCs w:val="22"/>
        </w:rPr>
        <w:t xml:space="preserve">” tételsorra 762 eFt összeg került átcsoportosításra a </w:t>
      </w:r>
      <w:r>
        <w:rPr>
          <w:rFonts w:ascii="Calibri" w:hAnsi="Calibri" w:cs="Calibri"/>
          <w:sz w:val="22"/>
          <w:szCs w:val="22"/>
        </w:rPr>
        <w:t>„</w:t>
      </w:r>
      <w:r w:rsidRPr="00BA288E">
        <w:rPr>
          <w:rFonts w:ascii="Calibri" w:hAnsi="Calibri"/>
          <w:sz w:val="22"/>
          <w:szCs w:val="22"/>
        </w:rPr>
        <w:t>Projektek - önerő, hozzájárulás, előkészítés</w:t>
      </w:r>
      <w:r>
        <w:rPr>
          <w:rFonts w:ascii="Calibri" w:hAnsi="Calibri"/>
          <w:sz w:val="22"/>
          <w:szCs w:val="22"/>
        </w:rPr>
        <w:t xml:space="preserve">” tételsorról, a projekthez kapcsolódó egyéb kiadások (telek kialakítási díj, eljárási díj, stb.) finanszírozása érdekében. </w:t>
      </w:r>
    </w:p>
    <w:p w14:paraId="267549BB" w14:textId="77777777" w:rsidR="00BA288E" w:rsidRDefault="00320C9A" w:rsidP="00320C9A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bCs/>
          <w:sz w:val="22"/>
          <w:szCs w:val="22"/>
        </w:rPr>
      </w:pPr>
      <w:r w:rsidRPr="00320C9A">
        <w:rPr>
          <w:rFonts w:ascii="Calibri" w:hAnsi="Calibri" w:cs="Calibri"/>
          <w:bCs/>
          <w:sz w:val="22"/>
          <w:szCs w:val="22"/>
        </w:rPr>
        <w:t>Az „Egyéb működési célú átvett pénzeszköz - INTERREG Europe OD4GROWTH pályázat</w:t>
      </w:r>
      <w:r w:rsidR="000334B8">
        <w:rPr>
          <w:rFonts w:ascii="Calibri" w:hAnsi="Calibri" w:cs="Calibri"/>
          <w:bCs/>
          <w:sz w:val="22"/>
          <w:szCs w:val="22"/>
        </w:rPr>
        <w:t xml:space="preserve"> önerő és támogatás</w:t>
      </w:r>
      <w:r w:rsidRPr="00320C9A">
        <w:rPr>
          <w:rFonts w:ascii="Calibri" w:hAnsi="Calibri" w:cs="Calibri"/>
          <w:bCs/>
          <w:sz w:val="22"/>
          <w:szCs w:val="22"/>
        </w:rPr>
        <w:t>” tételsorról könyvelés technikai szabályoknak megfelelően a támogatás „hazai finanszírozás</w:t>
      </w:r>
      <w:r w:rsidR="000334B8">
        <w:rPr>
          <w:rFonts w:ascii="Calibri" w:hAnsi="Calibri" w:cs="Calibri"/>
          <w:bCs/>
          <w:sz w:val="22"/>
          <w:szCs w:val="22"/>
        </w:rPr>
        <w:t>ú</w:t>
      </w:r>
      <w:r w:rsidRPr="00320C9A">
        <w:rPr>
          <w:rFonts w:ascii="Calibri" w:hAnsi="Calibri" w:cs="Calibri"/>
          <w:bCs/>
          <w:sz w:val="22"/>
          <w:szCs w:val="22"/>
        </w:rPr>
        <w:t xml:space="preserve">” előirányzata az „Egyéb működési célú támogatások bevételei államháztartáson belülről” bevételi előirányzatok közé került átvezetésre 7.692 eFt összegben. </w:t>
      </w:r>
    </w:p>
    <w:p w14:paraId="7C9A491F" w14:textId="77777777" w:rsidR="00607836" w:rsidRDefault="00C64743" w:rsidP="00320C9A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</w:t>
      </w:r>
      <w:r w:rsidR="00607836" w:rsidRPr="00607836">
        <w:rPr>
          <w:rFonts w:ascii="Calibri" w:hAnsi="Calibri" w:cs="Calibri"/>
          <w:bCs/>
          <w:sz w:val="22"/>
          <w:szCs w:val="22"/>
        </w:rPr>
        <w:t>TOP-6.4.1-15 SZMJV kerékpárosbarát fejlesztése</w:t>
      </w:r>
      <w:r>
        <w:rPr>
          <w:rFonts w:ascii="Calibri" w:hAnsi="Calibri" w:cs="Calibri"/>
          <w:bCs/>
          <w:sz w:val="22"/>
          <w:szCs w:val="22"/>
        </w:rPr>
        <w:t xml:space="preserve"> projekt elszámolás alapján keletkezett visszafizetési kötelezettség 899 eFt. A kiadás forrása a „</w:t>
      </w:r>
      <w:r w:rsidRPr="00C64743">
        <w:rPr>
          <w:rFonts w:ascii="Calibri" w:hAnsi="Calibri" w:cs="Calibri"/>
          <w:bCs/>
          <w:sz w:val="22"/>
          <w:szCs w:val="22"/>
        </w:rPr>
        <w:t>Projektek - önerő, hozzájárulás, előkészítés</w:t>
      </w:r>
      <w:r>
        <w:rPr>
          <w:rFonts w:ascii="Calibri" w:hAnsi="Calibri" w:cs="Calibri"/>
          <w:bCs/>
          <w:sz w:val="22"/>
          <w:szCs w:val="22"/>
        </w:rPr>
        <w:t xml:space="preserve">” költségvetési tételsorról történő átcsoportosítással biztosított. </w:t>
      </w:r>
    </w:p>
    <w:p w14:paraId="45F42153" w14:textId="77777777" w:rsidR="00C64743" w:rsidRPr="00BC715E" w:rsidRDefault="00C64743" w:rsidP="00BC715E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bCs/>
          <w:sz w:val="22"/>
          <w:szCs w:val="22"/>
        </w:rPr>
      </w:pPr>
      <w:r w:rsidRPr="00BC715E">
        <w:rPr>
          <w:rFonts w:ascii="Calibri" w:hAnsi="Calibri" w:cs="Calibri"/>
          <w:bCs/>
          <w:sz w:val="22"/>
          <w:szCs w:val="22"/>
        </w:rPr>
        <w:t xml:space="preserve">A számviteli szabályok szerint a beruházásokhoz és a TOP projektekhez kapcsolódó fordított áfa tételek összegei </w:t>
      </w:r>
      <w:r w:rsidR="00BC715E" w:rsidRPr="00BC715E">
        <w:rPr>
          <w:rFonts w:ascii="Calibri" w:hAnsi="Calibri" w:cs="Calibri"/>
          <w:bCs/>
          <w:sz w:val="22"/>
          <w:szCs w:val="22"/>
        </w:rPr>
        <w:t xml:space="preserve">– több költségvetési tételsor vonatkozásában - </w:t>
      </w:r>
      <w:r w:rsidRPr="00BC715E">
        <w:rPr>
          <w:rFonts w:ascii="Calibri" w:hAnsi="Calibri" w:cs="Calibri"/>
          <w:bCs/>
          <w:sz w:val="22"/>
          <w:szCs w:val="22"/>
        </w:rPr>
        <w:t xml:space="preserve">átcsoportosításra kerültek a beruházások és projektek önálló költségvetési tételsoráról a beruházásokhoz és projektekhez kapcsolódó fordított áfa tételsorra. </w:t>
      </w:r>
    </w:p>
    <w:p w14:paraId="41AF38C1" w14:textId="77777777" w:rsidR="00C64743" w:rsidRPr="00BC715E" w:rsidRDefault="00C64743" w:rsidP="00BC715E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bCs/>
          <w:sz w:val="22"/>
          <w:szCs w:val="22"/>
        </w:rPr>
      </w:pPr>
      <w:r w:rsidRPr="00BC715E">
        <w:rPr>
          <w:rFonts w:ascii="Calibri" w:hAnsi="Calibri" w:cs="Calibri"/>
          <w:bCs/>
          <w:sz w:val="22"/>
          <w:szCs w:val="22"/>
        </w:rPr>
        <w:t>Az Óvodák és a Köznevelési Gamesz költségvetésében tervezett előirányzatok között történt átcsoportosítások kerültek rendezésre. Mindösszesen 562 eFt összegben. Az átcsoportosított tételek az alábbiak:</w:t>
      </w:r>
    </w:p>
    <w:p w14:paraId="7A212884" w14:textId="77777777" w:rsidR="00C64743" w:rsidRPr="00BC715E" w:rsidRDefault="00C64743" w:rsidP="00EB0F9B">
      <w:pPr>
        <w:numPr>
          <w:ilvl w:val="0"/>
          <w:numId w:val="29"/>
        </w:numPr>
        <w:ind w:hanging="76"/>
        <w:jc w:val="both"/>
        <w:rPr>
          <w:rFonts w:ascii="Calibri" w:hAnsi="Calibri" w:cs="Calibri"/>
          <w:bCs/>
          <w:sz w:val="22"/>
          <w:szCs w:val="22"/>
        </w:rPr>
      </w:pPr>
      <w:r w:rsidRPr="00BC715E">
        <w:rPr>
          <w:rFonts w:ascii="Calibri" w:hAnsi="Calibri" w:cs="Calibri"/>
          <w:bCs/>
          <w:sz w:val="22"/>
          <w:szCs w:val="22"/>
        </w:rPr>
        <w:t>pedagógus továbbképzések előirányzata,</w:t>
      </w:r>
    </w:p>
    <w:p w14:paraId="651C3913" w14:textId="77777777" w:rsidR="00C64743" w:rsidRPr="00A16BD7" w:rsidRDefault="00C64743" w:rsidP="00EB0F9B">
      <w:pPr>
        <w:numPr>
          <w:ilvl w:val="0"/>
          <w:numId w:val="29"/>
        </w:numPr>
        <w:ind w:hanging="76"/>
        <w:jc w:val="both"/>
        <w:rPr>
          <w:rFonts w:ascii="Calibri" w:hAnsi="Calibri" w:cs="Calibri"/>
          <w:bCs/>
          <w:sz w:val="22"/>
          <w:szCs w:val="22"/>
        </w:rPr>
      </w:pPr>
      <w:r w:rsidRPr="00A16BD7">
        <w:rPr>
          <w:rFonts w:ascii="Calibri" w:hAnsi="Calibri" w:cs="Calibri"/>
          <w:bCs/>
          <w:sz w:val="22"/>
          <w:szCs w:val="22"/>
        </w:rPr>
        <w:t>sajátos nevelési igényű gyermekek ellátására kapott támogatások előirányzata.</w:t>
      </w:r>
    </w:p>
    <w:p w14:paraId="06C6881D" w14:textId="77777777" w:rsidR="00F75644" w:rsidRPr="00A16BD7" w:rsidRDefault="00F75644" w:rsidP="0067466C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bCs/>
          <w:sz w:val="22"/>
          <w:szCs w:val="22"/>
        </w:rPr>
      </w:pPr>
      <w:r w:rsidRPr="00A16BD7">
        <w:rPr>
          <w:rFonts w:ascii="Calibri" w:hAnsi="Calibri" w:cs="Calibri"/>
          <w:bCs/>
          <w:sz w:val="22"/>
          <w:szCs w:val="22"/>
        </w:rPr>
        <w:t>Az „Északi iparterület fejlesztéséhez vállalt kötelezettségek” előirányzatának átcsoportosítása történt meg</w:t>
      </w:r>
      <w:r w:rsidR="00583143" w:rsidRPr="00A16BD7">
        <w:rPr>
          <w:rFonts w:ascii="Calibri" w:hAnsi="Calibri" w:cs="Calibri"/>
          <w:bCs/>
          <w:sz w:val="22"/>
          <w:szCs w:val="22"/>
        </w:rPr>
        <w:t xml:space="preserve"> 240.000 eFt összegben</w:t>
      </w:r>
      <w:r w:rsidRPr="00A16BD7">
        <w:rPr>
          <w:rFonts w:ascii="Calibri" w:hAnsi="Calibri" w:cs="Calibri"/>
          <w:bCs/>
          <w:sz w:val="22"/>
          <w:szCs w:val="22"/>
        </w:rPr>
        <w:t xml:space="preserve"> a „VASIVÍZ ZRt. elsődleges tevékenység támogatása” új költségvetési tételsorra</w:t>
      </w:r>
      <w:r w:rsidR="00DB608E" w:rsidRPr="00A16BD7">
        <w:rPr>
          <w:rFonts w:ascii="Calibri" w:hAnsi="Calibri" w:cs="Calibri"/>
          <w:bCs/>
          <w:sz w:val="22"/>
          <w:szCs w:val="22"/>
        </w:rPr>
        <w:t>, így megteremtve a közgyűlés által jóváhagyott üzleti tervben szereplő önkormányzati támogatás egy részének fedezetét.</w:t>
      </w:r>
      <w:r w:rsidRPr="00A16BD7">
        <w:rPr>
          <w:rFonts w:ascii="Calibri" w:hAnsi="Calibri" w:cs="Calibri"/>
          <w:bCs/>
          <w:sz w:val="22"/>
          <w:szCs w:val="22"/>
        </w:rPr>
        <w:t xml:space="preserve"> </w:t>
      </w:r>
    </w:p>
    <w:p w14:paraId="09607DD5" w14:textId="77777777" w:rsidR="00CD3024" w:rsidRPr="0067466C" w:rsidRDefault="00CD3024" w:rsidP="0067466C">
      <w:pPr>
        <w:numPr>
          <w:ilvl w:val="0"/>
          <w:numId w:val="24"/>
        </w:numPr>
        <w:ind w:left="851" w:hanging="142"/>
        <w:jc w:val="both"/>
        <w:rPr>
          <w:rFonts w:ascii="Calibri" w:hAnsi="Calibri" w:cs="Calibri"/>
          <w:bCs/>
          <w:sz w:val="22"/>
          <w:szCs w:val="22"/>
        </w:rPr>
      </w:pPr>
      <w:r w:rsidRPr="00A16BD7">
        <w:rPr>
          <w:rFonts w:ascii="Calibri" w:hAnsi="Calibri" w:cs="Calibri"/>
          <w:bCs/>
          <w:sz w:val="22"/>
          <w:szCs w:val="22"/>
        </w:rPr>
        <w:t>A „Kalandváros óvodai és iskolai csoportok által történő szervezett látogatásának támogatása” költségvetési tételsoron rendelkezésre álló 2.00</w:t>
      </w:r>
      <w:r w:rsidR="00FF22CF" w:rsidRPr="00A16BD7">
        <w:rPr>
          <w:rFonts w:ascii="Calibri" w:hAnsi="Calibri" w:cs="Calibri"/>
          <w:bCs/>
          <w:sz w:val="22"/>
          <w:szCs w:val="22"/>
        </w:rPr>
        <w:t>0</w:t>
      </w:r>
      <w:r w:rsidRPr="00A16BD7">
        <w:rPr>
          <w:rFonts w:ascii="Calibri" w:hAnsi="Calibri" w:cs="Calibri"/>
          <w:bCs/>
          <w:sz w:val="22"/>
          <w:szCs w:val="22"/>
        </w:rPr>
        <w:t xml:space="preserve"> eFt összegű előirányzat</w:t>
      </w:r>
      <w:r w:rsidRPr="0067466C">
        <w:rPr>
          <w:rFonts w:ascii="Calibri" w:hAnsi="Calibri" w:cs="Calibri"/>
          <w:bCs/>
          <w:sz w:val="22"/>
          <w:szCs w:val="22"/>
        </w:rPr>
        <w:t xml:space="preserve"> átcsoportosításra került a Köznevelési GAMESZ költségvetésébe.</w:t>
      </w:r>
    </w:p>
    <w:p w14:paraId="55C7F7D2" w14:textId="77777777" w:rsidR="003A5519" w:rsidRPr="003A5519" w:rsidRDefault="003A5519" w:rsidP="002F3BF0">
      <w:pPr>
        <w:numPr>
          <w:ilvl w:val="0"/>
          <w:numId w:val="28"/>
        </w:numPr>
        <w:ind w:left="851" w:hanging="142"/>
        <w:jc w:val="both"/>
        <w:rPr>
          <w:rFonts w:ascii="Calibri" w:hAnsi="Calibri" w:cs="Calibri"/>
          <w:sz w:val="22"/>
          <w:szCs w:val="22"/>
        </w:rPr>
      </w:pPr>
      <w:r w:rsidRPr="003A5519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z</w:t>
      </w:r>
      <w:r w:rsidRPr="003A5519">
        <w:rPr>
          <w:rFonts w:ascii="Calibri" w:hAnsi="Calibri" w:cs="Calibri"/>
          <w:sz w:val="22"/>
          <w:szCs w:val="22"/>
        </w:rPr>
        <w:t xml:space="preserve"> INTERREG Europe OD4GROWTH pályázatelnevezésű projekt előirányzatából </w:t>
      </w:r>
      <w:r>
        <w:rPr>
          <w:rFonts w:ascii="Calibri" w:hAnsi="Calibri" w:cs="Calibri"/>
          <w:sz w:val="22"/>
          <w:szCs w:val="22"/>
        </w:rPr>
        <w:t>4.539</w:t>
      </w:r>
      <w:r w:rsidRPr="003A5519">
        <w:rPr>
          <w:rFonts w:ascii="Calibri" w:hAnsi="Calibri" w:cs="Calibri"/>
          <w:sz w:val="22"/>
          <w:szCs w:val="22"/>
        </w:rPr>
        <w:t xml:space="preserve"> eFt összeg került átcsoportosításra a Polgármesteri Hivatal költségvetésébe, a projektben elszámolható személyi juttatások és járulékai fedezetének biztosítása érdekében. </w:t>
      </w:r>
    </w:p>
    <w:p w14:paraId="737B09E7" w14:textId="77777777" w:rsidR="003A5519" w:rsidRPr="00CD3024" w:rsidRDefault="003A5519" w:rsidP="003A5519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237E238" w14:textId="77777777" w:rsidR="00500B0C" w:rsidRPr="00F14DC1" w:rsidRDefault="00295143" w:rsidP="00500B0C">
      <w:pPr>
        <w:tabs>
          <w:tab w:val="left" w:pos="840"/>
        </w:tabs>
        <w:ind w:left="360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5F445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</w:t>
      </w:r>
      <w:r w:rsidR="00500B0C" w:rsidRPr="00D2121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0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eFt</w:t>
      </w:r>
    </w:p>
    <w:p w14:paraId="44EE6F8F" w14:textId="77777777" w:rsidR="00500B0C" w:rsidRPr="00F14DC1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0A3AAC66" w14:textId="77777777" w:rsidR="00500B0C" w:rsidRPr="00F14DC1" w:rsidRDefault="00500B0C" w:rsidP="000442EA">
      <w:pPr>
        <w:numPr>
          <w:ilvl w:val="0"/>
          <w:numId w:val="10"/>
        </w:num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Az utólagos tudomás</w:t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ul vételt jelentő tételek a) – g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  egyenlege</w:t>
      </w:r>
      <w:r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: </w:t>
      </w:r>
      <w:r w:rsidR="00902DFF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+ 35.734</w:t>
      </w:r>
      <w:r w:rsidR="003F6CA1"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7154D9"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9723B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07F48AAB" w14:textId="77777777" w:rsidR="007D1411" w:rsidRDefault="00B911D2" w:rsidP="000442EA">
      <w:pPr>
        <w:numPr>
          <w:ilvl w:val="0"/>
          <w:numId w:val="10"/>
        </w:numPr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lastRenderedPageBreak/>
        <w:t>Közgyűlési</w:t>
      </w:r>
      <w:r w:rsidR="00A26220" w:rsidRPr="00F14DC1">
        <w:rPr>
          <w:rFonts w:ascii="Calibri" w:hAnsi="Calibri" w:cs="Calibri"/>
          <w:b/>
          <w:sz w:val="22"/>
          <w:szCs w:val="22"/>
        </w:rPr>
        <w:t xml:space="preserve"> határozatok</w:t>
      </w:r>
      <w:r w:rsidR="00500B0C" w:rsidRPr="00F14DC1">
        <w:rPr>
          <w:rFonts w:ascii="Calibri" w:hAnsi="Calibri" w:cs="Calibri"/>
          <w:b/>
          <w:sz w:val="22"/>
          <w:szCs w:val="22"/>
        </w:rPr>
        <w:t xml:space="preserve"> alapján biztosított tételek</w:t>
      </w:r>
    </w:p>
    <w:p w14:paraId="4B786BC8" w14:textId="77777777" w:rsidR="0078425D" w:rsidRPr="00C223C4" w:rsidRDefault="0078425D" w:rsidP="0078425D">
      <w:pPr>
        <w:ind w:left="1080"/>
        <w:rPr>
          <w:rFonts w:ascii="Calibri" w:hAnsi="Calibri" w:cs="Calibri"/>
          <w:b/>
          <w:sz w:val="22"/>
          <w:szCs w:val="22"/>
        </w:rPr>
      </w:pPr>
    </w:p>
    <w:p w14:paraId="65CBB132" w14:textId="77777777" w:rsidR="00086802" w:rsidRPr="00086802" w:rsidRDefault="00086802" w:rsidP="00021D99">
      <w:pPr>
        <w:numPr>
          <w:ilvl w:val="0"/>
          <w:numId w:val="7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086802">
        <w:rPr>
          <w:rFonts w:ascii="Calibri" w:hAnsi="Calibri" w:cs="Calibri"/>
          <w:sz w:val="22"/>
          <w:szCs w:val="22"/>
        </w:rPr>
        <w:t xml:space="preserve">Végrehajtásra került a </w:t>
      </w:r>
      <w:r w:rsidRPr="00086802">
        <w:rPr>
          <w:rFonts w:ascii="Calibri" w:hAnsi="Calibri" w:cs="Calibri"/>
          <w:b/>
          <w:i/>
          <w:sz w:val="22"/>
          <w:szCs w:val="22"/>
        </w:rPr>
        <w:t>276/2023. (IX.28.) Kgy. számú határozat</w:t>
      </w:r>
      <w:r w:rsidRPr="00086802">
        <w:rPr>
          <w:rFonts w:ascii="Calibri" w:hAnsi="Calibri" w:cs="Calibri"/>
          <w:sz w:val="22"/>
          <w:szCs w:val="22"/>
        </w:rPr>
        <w:t xml:space="preserve">, mely alapján 4 óvodában pedagógiai asszisztens foglalkoztatásához kapcsolódó, 2023. évre vonatkozó bérfedezet biztosításra került. </w:t>
      </w:r>
    </w:p>
    <w:p w14:paraId="5259A753" w14:textId="77777777" w:rsidR="0078425D" w:rsidRPr="00AF1C3C" w:rsidRDefault="0078425D" w:rsidP="00086802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  <w:r w:rsidRPr="00AF1C3C">
        <w:rPr>
          <w:rFonts w:ascii="Calibri" w:hAnsi="Calibri" w:cs="Calibri"/>
          <w:b/>
          <w:i/>
          <w:sz w:val="22"/>
          <w:szCs w:val="22"/>
        </w:rPr>
        <w:t xml:space="preserve">(egyenleg: </w:t>
      </w:r>
      <w:r w:rsidR="00086802" w:rsidRPr="00AF1C3C">
        <w:rPr>
          <w:rFonts w:ascii="Calibri" w:hAnsi="Calibri" w:cs="Calibri"/>
          <w:b/>
          <w:i/>
          <w:sz w:val="22"/>
          <w:szCs w:val="22"/>
        </w:rPr>
        <w:t>-4.158</w:t>
      </w:r>
      <w:r w:rsidRPr="00AF1C3C">
        <w:rPr>
          <w:rFonts w:ascii="Calibri" w:hAnsi="Calibri" w:cs="Calibri"/>
          <w:b/>
          <w:i/>
          <w:sz w:val="22"/>
          <w:szCs w:val="22"/>
        </w:rPr>
        <w:t xml:space="preserve"> eFt) </w:t>
      </w:r>
    </w:p>
    <w:p w14:paraId="54750506" w14:textId="77777777" w:rsidR="00906218" w:rsidRDefault="00906218" w:rsidP="00C223C4">
      <w:pPr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284EAA45" w14:textId="77777777" w:rsidR="00D1103E" w:rsidRPr="00E67522" w:rsidRDefault="00D1103E" w:rsidP="00D1103E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E67522">
        <w:rPr>
          <w:rFonts w:ascii="Calibri" w:hAnsi="Calibri" w:cs="Calibri"/>
          <w:sz w:val="22"/>
          <w:szCs w:val="22"/>
        </w:rPr>
        <w:t xml:space="preserve">A 2023. évi költségvetési rendelet II. számú módosításában a Közgyűlési döntést igénylő többletkiadások között a Vásárcsarnok– bérfejlesztés 2023. szeptember 1. napjától címén az intézmény költségvetésében 2.458 eFt került biztosításra. A </w:t>
      </w:r>
      <w:r w:rsidRPr="00E67522">
        <w:rPr>
          <w:rFonts w:ascii="Calibri" w:hAnsi="Calibri" w:cs="Calibri"/>
          <w:b/>
          <w:i/>
          <w:sz w:val="22"/>
          <w:szCs w:val="22"/>
        </w:rPr>
        <w:t>270/2023. (IX.28.) Kgy. számú határozat</w:t>
      </w:r>
      <w:r w:rsidRPr="00E67522">
        <w:rPr>
          <w:rFonts w:ascii="Calibri" w:hAnsi="Calibri" w:cs="Calibri"/>
          <w:sz w:val="22"/>
          <w:szCs w:val="22"/>
        </w:rPr>
        <w:t xml:space="preserve">, és előterjesztése a 2023. szeptember 1-jei hatállyal egységesen havi 50.000 Ft-os béremelés szükséges forrásaként azonban csak 1.017 eFt-ról rendelkezik, így a különbözet elvonása javasolt az intézmény költségvetéséből. </w:t>
      </w:r>
    </w:p>
    <w:p w14:paraId="6CE6F2E7" w14:textId="77777777" w:rsidR="008446A9" w:rsidRDefault="008446A9" w:rsidP="008446A9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  <w:r w:rsidRPr="008446A9">
        <w:rPr>
          <w:rFonts w:ascii="Calibri" w:hAnsi="Calibri" w:cs="Calibri"/>
          <w:b/>
          <w:i/>
          <w:sz w:val="22"/>
          <w:szCs w:val="22"/>
        </w:rPr>
        <w:t xml:space="preserve">(egyenleg: </w:t>
      </w:r>
      <w:r>
        <w:rPr>
          <w:rFonts w:ascii="Calibri" w:hAnsi="Calibri" w:cs="Calibri"/>
          <w:b/>
          <w:i/>
          <w:sz w:val="22"/>
          <w:szCs w:val="22"/>
        </w:rPr>
        <w:t>+1.441</w:t>
      </w:r>
      <w:r w:rsidRPr="008446A9">
        <w:rPr>
          <w:rFonts w:ascii="Calibri" w:hAnsi="Calibri" w:cs="Calibri"/>
          <w:b/>
          <w:i/>
          <w:sz w:val="22"/>
          <w:szCs w:val="22"/>
        </w:rPr>
        <w:t xml:space="preserve"> eFt) </w:t>
      </w:r>
    </w:p>
    <w:p w14:paraId="73017FF3" w14:textId="77777777" w:rsidR="000A2BBF" w:rsidRDefault="000A2BBF" w:rsidP="008446A9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B968D2F" w14:textId="77777777" w:rsidR="000A2BBF" w:rsidRPr="00086802" w:rsidRDefault="000A2BBF" w:rsidP="000A2BBF">
      <w:pPr>
        <w:numPr>
          <w:ilvl w:val="0"/>
          <w:numId w:val="7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086802">
        <w:rPr>
          <w:rFonts w:ascii="Calibri" w:hAnsi="Calibri" w:cs="Calibri"/>
          <w:sz w:val="22"/>
          <w:szCs w:val="22"/>
        </w:rPr>
        <w:t xml:space="preserve">Végrehajtásra került a </w:t>
      </w:r>
      <w:r w:rsidRPr="00AF1C3C">
        <w:rPr>
          <w:rFonts w:ascii="Calibri" w:hAnsi="Calibri" w:cs="Calibri"/>
          <w:b/>
          <w:bCs/>
          <w:i/>
          <w:iCs/>
          <w:sz w:val="22"/>
          <w:szCs w:val="22"/>
        </w:rPr>
        <w:t>374/</w:t>
      </w:r>
      <w:r w:rsidRPr="00086802">
        <w:rPr>
          <w:rFonts w:ascii="Calibri" w:hAnsi="Calibri" w:cs="Calibri"/>
          <w:b/>
          <w:i/>
          <w:sz w:val="22"/>
          <w:szCs w:val="22"/>
        </w:rPr>
        <w:t>2023. (X</w:t>
      </w:r>
      <w:r>
        <w:rPr>
          <w:rFonts w:ascii="Calibri" w:hAnsi="Calibri" w:cs="Calibri"/>
          <w:b/>
          <w:i/>
          <w:sz w:val="22"/>
          <w:szCs w:val="22"/>
        </w:rPr>
        <w:t>I</w:t>
      </w:r>
      <w:r w:rsidRPr="00086802">
        <w:rPr>
          <w:rFonts w:ascii="Calibri" w:hAnsi="Calibri" w:cs="Calibri"/>
          <w:b/>
          <w:i/>
          <w:sz w:val="22"/>
          <w:szCs w:val="22"/>
        </w:rPr>
        <w:t>.</w:t>
      </w:r>
      <w:r>
        <w:rPr>
          <w:rFonts w:ascii="Calibri" w:hAnsi="Calibri" w:cs="Calibri"/>
          <w:b/>
          <w:i/>
          <w:sz w:val="22"/>
          <w:szCs w:val="22"/>
        </w:rPr>
        <w:t>30</w:t>
      </w:r>
      <w:r w:rsidRPr="00086802">
        <w:rPr>
          <w:rFonts w:ascii="Calibri" w:hAnsi="Calibri" w:cs="Calibri"/>
          <w:b/>
          <w:i/>
          <w:sz w:val="22"/>
          <w:szCs w:val="22"/>
        </w:rPr>
        <w:t>.) Kgy. számú határozat</w:t>
      </w:r>
      <w:r w:rsidRPr="00086802">
        <w:rPr>
          <w:rFonts w:ascii="Calibri" w:hAnsi="Calibri" w:cs="Calibri"/>
          <w:sz w:val="22"/>
          <w:szCs w:val="22"/>
        </w:rPr>
        <w:t xml:space="preserve">, mely alapján </w:t>
      </w:r>
      <w:r>
        <w:rPr>
          <w:rFonts w:ascii="Calibri" w:hAnsi="Calibri" w:cs="Calibri"/>
          <w:sz w:val="22"/>
          <w:szCs w:val="22"/>
        </w:rPr>
        <w:t xml:space="preserve">az Egészségügyi és Kulturális GESZ költségvetésében 18.063 eFt biztosításra került 6 fő jogviszonyának megszüntetésével kapcsolatos költségek fedezetére. </w:t>
      </w:r>
      <w:r w:rsidRPr="00086802">
        <w:rPr>
          <w:rFonts w:ascii="Calibri" w:hAnsi="Calibri" w:cs="Calibri"/>
          <w:sz w:val="22"/>
          <w:szCs w:val="22"/>
        </w:rPr>
        <w:t xml:space="preserve"> </w:t>
      </w:r>
    </w:p>
    <w:p w14:paraId="79B2F9F2" w14:textId="77777777" w:rsidR="000A2BBF" w:rsidRPr="00AF1C3C" w:rsidRDefault="000A2BBF" w:rsidP="000A2BBF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  <w:r w:rsidRPr="00AF1C3C">
        <w:rPr>
          <w:rFonts w:ascii="Calibri" w:hAnsi="Calibri" w:cs="Calibri"/>
          <w:b/>
          <w:i/>
          <w:sz w:val="22"/>
          <w:szCs w:val="22"/>
        </w:rPr>
        <w:t xml:space="preserve">(egyenleg: -18.063 eFt) </w:t>
      </w:r>
    </w:p>
    <w:p w14:paraId="622BA9C1" w14:textId="77777777" w:rsidR="00AF1C3C" w:rsidRDefault="00AF1C3C" w:rsidP="000A2BBF">
      <w:pPr>
        <w:ind w:left="720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401C403B" w14:textId="77777777" w:rsidR="00AF1C3C" w:rsidRPr="00AF1C3C" w:rsidRDefault="00AF1C3C" w:rsidP="00E140A2">
      <w:pPr>
        <w:numPr>
          <w:ilvl w:val="0"/>
          <w:numId w:val="7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AF1C3C">
        <w:rPr>
          <w:rFonts w:ascii="Calibri" w:hAnsi="Calibri" w:cs="Calibri"/>
          <w:sz w:val="22"/>
          <w:szCs w:val="22"/>
        </w:rPr>
        <w:t xml:space="preserve">Végrehajtásra került a </w:t>
      </w:r>
      <w:r w:rsidRPr="00AF1C3C">
        <w:rPr>
          <w:rFonts w:ascii="Calibri" w:hAnsi="Calibri" w:cs="Calibri"/>
          <w:b/>
          <w:bCs/>
          <w:i/>
          <w:iCs/>
          <w:sz w:val="22"/>
          <w:szCs w:val="22"/>
        </w:rPr>
        <w:t>423</w:t>
      </w:r>
      <w:r w:rsidRPr="00AF1C3C">
        <w:rPr>
          <w:rFonts w:ascii="Calibri" w:hAnsi="Calibri" w:cs="Calibri"/>
          <w:b/>
          <w:i/>
          <w:sz w:val="22"/>
          <w:szCs w:val="22"/>
        </w:rPr>
        <w:t>/2023. (XII.14.) Kgy. számú határozat</w:t>
      </w:r>
      <w:r w:rsidRPr="00AF1C3C">
        <w:rPr>
          <w:rFonts w:ascii="Calibri" w:hAnsi="Calibri" w:cs="Calibri"/>
          <w:sz w:val="22"/>
          <w:szCs w:val="22"/>
        </w:rPr>
        <w:t>, mely alapján a város külterületein végzett parkfenntartási szolgáltatás elvégzésére a 142/2023.(IV.27.) Kgy.sz. határozat alapján nyújtott 55.000 eFt előleg összegével megemelve bruttó 655.000 eFt keretösszeg</w:t>
      </w:r>
      <w:r w:rsidR="00E01BC4">
        <w:rPr>
          <w:rFonts w:ascii="Calibri" w:hAnsi="Calibri" w:cs="Calibri"/>
          <w:sz w:val="22"/>
          <w:szCs w:val="22"/>
        </w:rPr>
        <w:t xml:space="preserve"> került biztosításra</w:t>
      </w:r>
      <w:r w:rsidRPr="00AF1C3C">
        <w:rPr>
          <w:rFonts w:ascii="Calibri" w:hAnsi="Calibri" w:cs="Calibri"/>
          <w:sz w:val="22"/>
          <w:szCs w:val="22"/>
        </w:rPr>
        <w:t xml:space="preserve">. </w:t>
      </w:r>
      <w:r w:rsidRPr="00AF1C3C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16D8FF96" w14:textId="77777777" w:rsidR="00DA11B8" w:rsidRPr="00AF1C3C" w:rsidRDefault="00DA11B8" w:rsidP="00DA11B8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  <w:r w:rsidRPr="00AF1C3C">
        <w:rPr>
          <w:rFonts w:ascii="Calibri" w:hAnsi="Calibri" w:cs="Calibri"/>
          <w:b/>
          <w:i/>
          <w:sz w:val="22"/>
          <w:szCs w:val="22"/>
        </w:rPr>
        <w:t>(egyenleg: -</w:t>
      </w:r>
      <w:r>
        <w:rPr>
          <w:rFonts w:ascii="Calibri" w:hAnsi="Calibri" w:cs="Calibri"/>
          <w:b/>
          <w:i/>
          <w:sz w:val="22"/>
          <w:szCs w:val="22"/>
        </w:rPr>
        <w:t>55.000</w:t>
      </w:r>
      <w:r w:rsidRPr="00AF1C3C">
        <w:rPr>
          <w:rFonts w:ascii="Calibri" w:hAnsi="Calibri" w:cs="Calibri"/>
          <w:b/>
          <w:i/>
          <w:sz w:val="22"/>
          <w:szCs w:val="22"/>
        </w:rPr>
        <w:t xml:space="preserve"> eFt) </w:t>
      </w:r>
    </w:p>
    <w:p w14:paraId="1DD1E367" w14:textId="77777777" w:rsidR="00AF1C3C" w:rsidRDefault="00AF1C3C" w:rsidP="000A2BBF">
      <w:pPr>
        <w:ind w:left="720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180DABF4" w14:textId="77777777" w:rsidR="009358AA" w:rsidRPr="009358AA" w:rsidRDefault="009358AA" w:rsidP="00365D25">
      <w:pPr>
        <w:numPr>
          <w:ilvl w:val="0"/>
          <w:numId w:val="7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9358AA">
        <w:rPr>
          <w:rFonts w:ascii="Calibri" w:hAnsi="Calibri" w:cs="Calibri"/>
          <w:sz w:val="22"/>
          <w:szCs w:val="22"/>
        </w:rPr>
        <w:t xml:space="preserve">A </w:t>
      </w:r>
      <w:r w:rsidRPr="009358AA">
        <w:rPr>
          <w:rFonts w:ascii="Calibri" w:hAnsi="Calibri" w:cs="Calibri"/>
          <w:b/>
          <w:bCs/>
          <w:i/>
          <w:iCs/>
          <w:sz w:val="22"/>
          <w:szCs w:val="22"/>
        </w:rPr>
        <w:t>204/2023</w:t>
      </w:r>
      <w:r w:rsidRPr="00A16BD7">
        <w:rPr>
          <w:rFonts w:ascii="Calibri" w:hAnsi="Calibri" w:cs="Calibri"/>
          <w:b/>
          <w:i/>
          <w:sz w:val="22"/>
          <w:szCs w:val="22"/>
        </w:rPr>
        <w:t>. (V</w:t>
      </w:r>
      <w:r w:rsidR="00AE1C0F" w:rsidRPr="00A16BD7">
        <w:rPr>
          <w:rFonts w:ascii="Calibri" w:hAnsi="Calibri" w:cs="Calibri"/>
          <w:b/>
          <w:i/>
          <w:sz w:val="22"/>
          <w:szCs w:val="22"/>
        </w:rPr>
        <w:t>I</w:t>
      </w:r>
      <w:r w:rsidRPr="00A16BD7">
        <w:rPr>
          <w:rFonts w:ascii="Calibri" w:hAnsi="Calibri" w:cs="Calibri"/>
          <w:b/>
          <w:i/>
          <w:sz w:val="22"/>
          <w:szCs w:val="22"/>
        </w:rPr>
        <w:t>.</w:t>
      </w:r>
      <w:r w:rsidR="00A16BD7">
        <w:rPr>
          <w:rFonts w:ascii="Calibri" w:hAnsi="Calibri" w:cs="Calibri"/>
          <w:b/>
          <w:i/>
          <w:sz w:val="22"/>
          <w:szCs w:val="22"/>
        </w:rPr>
        <w:t>1</w:t>
      </w:r>
      <w:r w:rsidRPr="00A16BD7">
        <w:rPr>
          <w:rFonts w:ascii="Calibri" w:hAnsi="Calibri" w:cs="Calibri"/>
          <w:b/>
          <w:i/>
          <w:sz w:val="22"/>
          <w:szCs w:val="22"/>
        </w:rPr>
        <w:t>5.) Kgy</w:t>
      </w:r>
      <w:r w:rsidRPr="009358AA">
        <w:rPr>
          <w:rFonts w:ascii="Calibri" w:hAnsi="Calibri" w:cs="Calibri"/>
          <w:b/>
          <w:i/>
          <w:sz w:val="22"/>
          <w:szCs w:val="22"/>
        </w:rPr>
        <w:t>. számú határozat</w:t>
      </w:r>
      <w:r w:rsidRPr="009358AA">
        <w:rPr>
          <w:rFonts w:ascii="Calibri" w:hAnsi="Calibri" w:cs="Calibri"/>
          <w:sz w:val="22"/>
          <w:szCs w:val="22"/>
        </w:rPr>
        <w:t xml:space="preserve"> alapján a belterületi vaddisznók okozta problémák kezelésének kiadásai fedezetére 2.283 eFt összeg került biztosításra az „Erdő és vadgazdálkodási kiadások” tételsoron.  </w:t>
      </w:r>
    </w:p>
    <w:p w14:paraId="5F8A78B2" w14:textId="77777777" w:rsidR="009358AA" w:rsidRPr="009358AA" w:rsidRDefault="009358AA" w:rsidP="009358AA">
      <w:pPr>
        <w:ind w:left="720"/>
        <w:jc w:val="both"/>
        <w:rPr>
          <w:rFonts w:ascii="Calibri" w:hAnsi="Calibri" w:cs="Calibri"/>
          <w:b/>
          <w:i/>
          <w:sz w:val="22"/>
          <w:szCs w:val="22"/>
        </w:rPr>
      </w:pPr>
      <w:r w:rsidRPr="009358AA">
        <w:rPr>
          <w:rFonts w:ascii="Calibri" w:hAnsi="Calibri" w:cs="Calibri"/>
          <w:b/>
          <w:i/>
          <w:sz w:val="22"/>
          <w:szCs w:val="22"/>
        </w:rPr>
        <w:t xml:space="preserve">(egyenleg: </w:t>
      </w:r>
      <w:r>
        <w:rPr>
          <w:rFonts w:ascii="Calibri" w:hAnsi="Calibri" w:cs="Calibri"/>
          <w:b/>
          <w:i/>
          <w:sz w:val="22"/>
          <w:szCs w:val="22"/>
        </w:rPr>
        <w:t>-2.283</w:t>
      </w:r>
      <w:r w:rsidRPr="009358AA">
        <w:rPr>
          <w:rFonts w:ascii="Calibri" w:hAnsi="Calibri" w:cs="Calibri"/>
          <w:b/>
          <w:i/>
          <w:sz w:val="22"/>
          <w:szCs w:val="22"/>
        </w:rPr>
        <w:t xml:space="preserve"> eFt) </w:t>
      </w:r>
    </w:p>
    <w:p w14:paraId="5E452253" w14:textId="77777777" w:rsidR="00AF1C3C" w:rsidRDefault="00AF1C3C" w:rsidP="000A2BBF">
      <w:pPr>
        <w:ind w:left="720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1D42A5F1" w14:textId="77777777" w:rsidR="0046542B" w:rsidRPr="0046542B" w:rsidRDefault="0046542B" w:rsidP="0046542B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6542B">
        <w:rPr>
          <w:rFonts w:ascii="Calibri" w:hAnsi="Calibri" w:cs="Calibri"/>
          <w:sz w:val="22"/>
          <w:szCs w:val="22"/>
        </w:rPr>
        <w:t xml:space="preserve">Az </w:t>
      </w:r>
      <w:r w:rsidRPr="0046542B">
        <w:rPr>
          <w:rFonts w:ascii="Calibri" w:hAnsi="Calibri" w:cs="Calibri"/>
          <w:b/>
          <w:bCs/>
          <w:i/>
          <w:iCs/>
          <w:sz w:val="22"/>
          <w:szCs w:val="22"/>
        </w:rPr>
        <w:t>54/2023. (II.23.) Kgy.sz. határozatban</w:t>
      </w:r>
      <w:r w:rsidRPr="0046542B">
        <w:rPr>
          <w:rFonts w:ascii="Calibri" w:hAnsi="Calibri" w:cs="Calibri"/>
          <w:sz w:val="22"/>
          <w:szCs w:val="22"/>
        </w:rPr>
        <w:t xml:space="preserve"> döntés született arról, hogy az egészségügyi alapellátás háziorvosai és fogorvosai részére 2023. január 1. napjától 2023. december 31. napjáig terjedő időre rezsitámogatás kerül biztosításra. A Szombathelyi Egészségügyi és Kulturális Intézmények Gazdasági Ellátó Szervezete kimutatása </w:t>
      </w:r>
      <w:r>
        <w:rPr>
          <w:rFonts w:ascii="Calibri" w:hAnsi="Calibri" w:cs="Calibri"/>
          <w:sz w:val="22"/>
          <w:szCs w:val="22"/>
        </w:rPr>
        <w:t xml:space="preserve">(2023. szeptember 1 – december 31. elszámolás) </w:t>
      </w:r>
      <w:r w:rsidRPr="0046542B">
        <w:rPr>
          <w:rFonts w:ascii="Calibri" w:hAnsi="Calibri" w:cs="Calibri"/>
          <w:sz w:val="22"/>
          <w:szCs w:val="22"/>
        </w:rPr>
        <w:t xml:space="preserve">alapján az intézmény költségvetésében átcsoportosítással került biztosításra </w:t>
      </w:r>
      <w:r>
        <w:rPr>
          <w:rFonts w:ascii="Calibri" w:hAnsi="Calibri" w:cs="Calibri"/>
          <w:sz w:val="22"/>
          <w:szCs w:val="22"/>
        </w:rPr>
        <w:t>6.037 eFt</w:t>
      </w:r>
      <w:r w:rsidRPr="0046542B">
        <w:rPr>
          <w:rFonts w:ascii="Calibri" w:hAnsi="Calibri" w:cs="Calibri"/>
          <w:sz w:val="22"/>
          <w:szCs w:val="22"/>
        </w:rPr>
        <w:t xml:space="preserve"> összeg az „Egészségügyi ágazat kiadásai - Háziorvosok rezsikompenzációja” tételsor terhére.</w:t>
      </w:r>
    </w:p>
    <w:p w14:paraId="20E4D596" w14:textId="77777777" w:rsidR="000A2BBF" w:rsidRDefault="0046542B" w:rsidP="0046542B">
      <w:pPr>
        <w:ind w:left="360" w:firstLine="34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6542B">
        <w:rPr>
          <w:rFonts w:ascii="Calibri" w:hAnsi="Calibri" w:cs="Calibri"/>
          <w:b/>
          <w:bCs/>
          <w:i/>
          <w:iCs/>
          <w:sz w:val="22"/>
          <w:szCs w:val="22"/>
        </w:rPr>
        <w:t>(egyenleg: 0 eFt)</w:t>
      </w:r>
    </w:p>
    <w:p w14:paraId="05E29677" w14:textId="77777777" w:rsidR="00182796" w:rsidRPr="0046542B" w:rsidRDefault="00182796" w:rsidP="0046542B">
      <w:pPr>
        <w:ind w:left="360" w:firstLine="34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0B304D5" w14:textId="77777777" w:rsidR="00182796" w:rsidRDefault="00182796" w:rsidP="00182796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18279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Pr="00182796">
        <w:rPr>
          <w:rFonts w:ascii="Calibri" w:hAnsi="Calibri" w:cs="Calibri"/>
          <w:b/>
          <w:bCs/>
          <w:i/>
          <w:iCs/>
          <w:sz w:val="22"/>
          <w:szCs w:val="22"/>
        </w:rPr>
        <w:t>266/2023. (IX.28.) Kgy.sz. határozat</w:t>
      </w:r>
      <w:r>
        <w:rPr>
          <w:rFonts w:ascii="Calibri" w:hAnsi="Calibri" w:cs="Calibri"/>
          <w:sz w:val="22"/>
          <w:szCs w:val="22"/>
        </w:rPr>
        <w:t xml:space="preserve"> alapján a VASIVÍZ ZRt. részére nyújtott támogatás előirányzatainak összevezetése történt meg.</w:t>
      </w:r>
    </w:p>
    <w:p w14:paraId="4ECD42A9" w14:textId="77777777" w:rsidR="00D1103E" w:rsidRPr="00182796" w:rsidRDefault="00182796" w:rsidP="00182796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82796">
        <w:rPr>
          <w:rFonts w:ascii="Calibri" w:hAnsi="Calibri" w:cs="Calibri"/>
          <w:b/>
          <w:bCs/>
          <w:i/>
          <w:iCs/>
          <w:sz w:val="22"/>
          <w:szCs w:val="22"/>
        </w:rPr>
        <w:t>(egyenleg: 0 eFt)</w:t>
      </w:r>
    </w:p>
    <w:p w14:paraId="33831AB9" w14:textId="77777777" w:rsidR="00D9244D" w:rsidRPr="00F14DC1" w:rsidRDefault="00D9244D" w:rsidP="005E2762">
      <w:pPr>
        <w:jc w:val="both"/>
        <w:rPr>
          <w:rFonts w:ascii="Calibri" w:hAnsi="Calibri" w:cs="Calibri"/>
          <w:b/>
          <w:sz w:val="22"/>
          <w:szCs w:val="22"/>
        </w:rPr>
      </w:pPr>
    </w:p>
    <w:p w14:paraId="47A4F011" w14:textId="77777777" w:rsidR="00500B0C" w:rsidRPr="00F14DC1" w:rsidRDefault="00500B0C" w:rsidP="000442EA">
      <w:pPr>
        <w:numPr>
          <w:ilvl w:val="0"/>
          <w:numId w:val="6"/>
        </w:num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A 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közgyűlési</w:t>
      </w:r>
      <w:r w:rsidR="00A26220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határozatok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alapján biztosított tételek összevont egyenlege: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 </w:t>
      </w:r>
      <w:r w:rsidR="00902DFF">
        <w:rPr>
          <w:rFonts w:ascii="Calibri" w:hAnsi="Calibri" w:cs="Calibri"/>
          <w:b/>
          <w:i/>
          <w:sz w:val="22"/>
          <w:szCs w:val="22"/>
          <w:u w:val="single"/>
        </w:rPr>
        <w:t xml:space="preserve">-78.063 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</w:p>
    <w:p w14:paraId="1D9A933F" w14:textId="77777777" w:rsidR="005E2762" w:rsidRDefault="005E2762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E0F8DE9" w14:textId="77777777" w:rsidR="00883CBC" w:rsidRDefault="00883CBC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5C3FC0F" w14:textId="77777777" w:rsidR="00EB3AC1" w:rsidRDefault="00EB3AC1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AA9B22E" w14:textId="77777777" w:rsidR="00883CBC" w:rsidRDefault="00883CBC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B254350" w14:textId="77777777" w:rsidR="00AC3C0D" w:rsidRPr="00AC3C0D" w:rsidRDefault="00AC3C0D" w:rsidP="00AC3C0D">
      <w:pPr>
        <w:keepNext/>
        <w:jc w:val="both"/>
        <w:outlineLvl w:val="7"/>
        <w:rPr>
          <w:rFonts w:ascii="Calibri" w:hAnsi="Calibri" w:cs="Calibri"/>
          <w:b/>
          <w:bCs/>
          <w:sz w:val="22"/>
          <w:szCs w:val="22"/>
        </w:rPr>
      </w:pPr>
      <w:r w:rsidRPr="00AC3C0D">
        <w:rPr>
          <w:rFonts w:ascii="Calibri" w:hAnsi="Calibri" w:cs="Calibri"/>
          <w:b/>
          <w:bCs/>
          <w:sz w:val="22"/>
          <w:szCs w:val="22"/>
        </w:rPr>
        <w:lastRenderedPageBreak/>
        <w:t xml:space="preserve">III. </w:t>
      </w:r>
      <w:r w:rsidR="001E5293">
        <w:rPr>
          <w:rFonts w:ascii="Calibri" w:hAnsi="Calibri" w:cs="Calibri"/>
          <w:b/>
          <w:bCs/>
          <w:sz w:val="22"/>
          <w:szCs w:val="22"/>
        </w:rPr>
        <w:t>A 2023.</w:t>
      </w:r>
      <w:r w:rsidRPr="00AC3C0D">
        <w:rPr>
          <w:rFonts w:ascii="Calibri" w:hAnsi="Calibri" w:cs="Calibri"/>
          <w:b/>
          <w:bCs/>
          <w:sz w:val="22"/>
          <w:szCs w:val="22"/>
        </w:rPr>
        <w:t xml:space="preserve"> évi teljesítési adatok alapján a költségvetésben egyenleget befolyásoló bevételi többletek, elmaradások bemutatása. </w:t>
      </w:r>
    </w:p>
    <w:p w14:paraId="4F941B2B" w14:textId="77777777" w:rsidR="00AC3C0D" w:rsidRPr="00AC3C0D" w:rsidRDefault="00AC3C0D" w:rsidP="00AC3C0D">
      <w:pPr>
        <w:rPr>
          <w:rFonts w:ascii="Calibri" w:hAnsi="Calibri" w:cs="Calibri"/>
          <w:sz w:val="22"/>
          <w:szCs w:val="22"/>
        </w:rPr>
      </w:pPr>
    </w:p>
    <w:p w14:paraId="7FE328EB" w14:textId="77777777" w:rsidR="00AC3C0D" w:rsidRPr="00AC3C0D" w:rsidRDefault="00902428" w:rsidP="00AC3C0D">
      <w:pPr>
        <w:numPr>
          <w:ilvl w:val="0"/>
          <w:numId w:val="25"/>
        </w:numPr>
        <w:ind w:left="284" w:hanging="284"/>
        <w:rPr>
          <w:rFonts w:ascii="Calibri" w:hAnsi="Calibri" w:cs="Calibri"/>
          <w:b/>
          <w:sz w:val="22"/>
          <w:szCs w:val="22"/>
          <w:u w:val="single"/>
        </w:rPr>
      </w:pPr>
      <w:bookmarkStart w:id="2" w:name="OLE_LINK3"/>
      <w:bookmarkStart w:id="3" w:name="OLE_LINK4"/>
      <w:r>
        <w:rPr>
          <w:rFonts w:ascii="Calibri" w:hAnsi="Calibri" w:cs="Calibri"/>
          <w:b/>
          <w:sz w:val="22"/>
          <w:szCs w:val="22"/>
          <w:u w:val="single"/>
        </w:rPr>
        <w:t xml:space="preserve">MŰKÖDÉSI CÉLÚ TÁMOGATÁSOK ÁLLAMHÁZTARTÁSON BELÜLRŐL ÉS </w:t>
      </w:r>
      <w:r w:rsidR="00AC3C0D" w:rsidRPr="00AC3C0D">
        <w:rPr>
          <w:rFonts w:ascii="Calibri" w:hAnsi="Calibri" w:cs="Calibri"/>
          <w:b/>
          <w:sz w:val="22"/>
          <w:szCs w:val="22"/>
          <w:u w:val="single"/>
        </w:rPr>
        <w:t xml:space="preserve">KÖZHATALMI BEVÉTELEK  </w:t>
      </w:r>
    </w:p>
    <w:p w14:paraId="48A5B994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8CD467F" w14:textId="77777777" w:rsidR="00AC3C0D" w:rsidRPr="00AC3C0D" w:rsidRDefault="00AC3C0D" w:rsidP="00AC3C0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754"/>
      </w:tblGrid>
      <w:tr w:rsidR="00AC3C0D" w:rsidRPr="00372E74" w14:paraId="6CF36426" w14:textId="77777777" w:rsidTr="00CF37BF">
        <w:trPr>
          <w:trHeight w:val="572"/>
        </w:trPr>
        <w:tc>
          <w:tcPr>
            <w:tcW w:w="6308" w:type="dxa"/>
            <w:shd w:val="clear" w:color="auto" w:fill="auto"/>
          </w:tcPr>
          <w:p w14:paraId="161646EA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4" w:type="dxa"/>
            <w:shd w:val="clear" w:color="auto" w:fill="auto"/>
          </w:tcPr>
          <w:p w14:paraId="6FAB2B23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14A2DD65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471432F3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902428" w:rsidRPr="00017533" w14:paraId="23D5CD02" w14:textId="77777777" w:rsidTr="00CF37BF">
        <w:trPr>
          <w:trHeight w:val="572"/>
        </w:trPr>
        <w:tc>
          <w:tcPr>
            <w:tcW w:w="6308" w:type="dxa"/>
            <w:shd w:val="clear" w:color="auto" w:fill="auto"/>
          </w:tcPr>
          <w:p w14:paraId="5055F7C5" w14:textId="77777777" w:rsidR="00902428" w:rsidRPr="00902428" w:rsidRDefault="00902428" w:rsidP="0090242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902428">
              <w:rPr>
                <w:rFonts w:ascii="Calibri" w:hAnsi="Calibri" w:cs="Calibri"/>
                <w:bCs/>
                <w:sz w:val="22"/>
                <w:szCs w:val="22"/>
              </w:rPr>
              <w:t>Kormányzati támogatás - Gyermek és szociális étkeztetés 2023. II. félévi tartalékára</w:t>
            </w:r>
            <w:r w:rsidR="00017533">
              <w:rPr>
                <w:rFonts w:ascii="Calibri" w:hAnsi="Calibri" w:cs="Calibri"/>
                <w:bCs/>
                <w:sz w:val="22"/>
                <w:szCs w:val="22"/>
              </w:rPr>
              <w:t xml:space="preserve"> - bevétel zárolása </w:t>
            </w:r>
          </w:p>
        </w:tc>
        <w:tc>
          <w:tcPr>
            <w:tcW w:w="2754" w:type="dxa"/>
            <w:shd w:val="clear" w:color="auto" w:fill="auto"/>
          </w:tcPr>
          <w:p w14:paraId="0D0F250C" w14:textId="77777777" w:rsidR="00902428" w:rsidRPr="00017533" w:rsidRDefault="00902428" w:rsidP="0090242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0D0717" w14:textId="77777777" w:rsidR="00017533" w:rsidRPr="00017533" w:rsidRDefault="00017533" w:rsidP="00902428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017533">
              <w:rPr>
                <w:rFonts w:ascii="Calibri" w:hAnsi="Calibri" w:cs="Calibri"/>
                <w:bCs/>
                <w:sz w:val="22"/>
                <w:szCs w:val="22"/>
              </w:rPr>
              <w:t>-300.000</w:t>
            </w:r>
          </w:p>
        </w:tc>
      </w:tr>
      <w:tr w:rsidR="00AC3C0D" w:rsidRPr="00372E74" w14:paraId="0F24E401" w14:textId="77777777" w:rsidTr="00CF37BF">
        <w:tc>
          <w:tcPr>
            <w:tcW w:w="6308" w:type="dxa"/>
            <w:shd w:val="clear" w:color="auto" w:fill="auto"/>
          </w:tcPr>
          <w:p w14:paraId="5C267C6C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Termőföld bérbeadásából származó bevétel többlete</w:t>
            </w:r>
          </w:p>
        </w:tc>
        <w:tc>
          <w:tcPr>
            <w:tcW w:w="2754" w:type="dxa"/>
            <w:shd w:val="clear" w:color="auto" w:fill="auto"/>
          </w:tcPr>
          <w:p w14:paraId="4B802C00" w14:textId="77777777" w:rsidR="00AC3C0D" w:rsidRPr="00AC3C0D" w:rsidRDefault="00017533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+859</w:t>
            </w:r>
          </w:p>
        </w:tc>
      </w:tr>
      <w:tr w:rsidR="00AC3C0D" w:rsidRPr="00372E74" w14:paraId="2C819720" w14:textId="77777777" w:rsidTr="00CF37BF">
        <w:tc>
          <w:tcPr>
            <w:tcW w:w="6308" w:type="dxa"/>
            <w:shd w:val="clear" w:color="auto" w:fill="auto"/>
          </w:tcPr>
          <w:p w14:paraId="154BB256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Építményadó bevétel rendezése</w:t>
            </w:r>
          </w:p>
        </w:tc>
        <w:tc>
          <w:tcPr>
            <w:tcW w:w="2754" w:type="dxa"/>
            <w:shd w:val="clear" w:color="auto" w:fill="auto"/>
          </w:tcPr>
          <w:p w14:paraId="14055B05" w14:textId="77777777" w:rsidR="00AC3C0D" w:rsidRPr="00AC3C0D" w:rsidRDefault="00017533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-45.210</w:t>
            </w:r>
          </w:p>
        </w:tc>
      </w:tr>
      <w:tr w:rsidR="00AC3C0D" w:rsidRPr="00372E74" w14:paraId="5F2F776F" w14:textId="77777777" w:rsidTr="00CF37BF">
        <w:tc>
          <w:tcPr>
            <w:tcW w:w="6308" w:type="dxa"/>
            <w:shd w:val="clear" w:color="auto" w:fill="auto"/>
          </w:tcPr>
          <w:p w14:paraId="028F64F8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Helyi iparűzési adó bevétel </w:t>
            </w:r>
            <w:r w:rsidR="00902428">
              <w:rPr>
                <w:rFonts w:ascii="Calibri" w:hAnsi="Calibri" w:cs="Calibri"/>
                <w:sz w:val="22"/>
                <w:szCs w:val="22"/>
              </w:rPr>
              <w:t>többlete</w:t>
            </w:r>
          </w:p>
        </w:tc>
        <w:tc>
          <w:tcPr>
            <w:tcW w:w="2754" w:type="dxa"/>
            <w:shd w:val="clear" w:color="auto" w:fill="auto"/>
          </w:tcPr>
          <w:p w14:paraId="5221365D" w14:textId="77777777" w:rsidR="00AC3C0D" w:rsidRPr="00AC3C0D" w:rsidRDefault="00017533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+2.267.181</w:t>
            </w:r>
          </w:p>
        </w:tc>
      </w:tr>
      <w:tr w:rsidR="00AC3C0D" w:rsidRPr="00372E74" w14:paraId="1A4658F2" w14:textId="77777777" w:rsidTr="00CF37BF">
        <w:tc>
          <w:tcPr>
            <w:tcW w:w="6308" w:type="dxa"/>
            <w:shd w:val="clear" w:color="auto" w:fill="auto"/>
          </w:tcPr>
          <w:p w14:paraId="3B05D283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Idegenforgalmi adóbevétel többlete</w:t>
            </w:r>
          </w:p>
        </w:tc>
        <w:tc>
          <w:tcPr>
            <w:tcW w:w="2754" w:type="dxa"/>
            <w:shd w:val="clear" w:color="auto" w:fill="auto"/>
          </w:tcPr>
          <w:p w14:paraId="6969C8B9" w14:textId="77777777" w:rsidR="00AC3C0D" w:rsidRPr="00AC3C0D" w:rsidRDefault="00017533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+3.959</w:t>
            </w:r>
          </w:p>
        </w:tc>
      </w:tr>
      <w:tr w:rsidR="00AC3C0D" w:rsidRPr="00372E74" w14:paraId="1682C3BE" w14:textId="77777777" w:rsidTr="00CF37BF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17CEF96F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Egyéb adó és bírságok, pótlékok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7A43CFAB" w14:textId="77777777" w:rsidR="00AC3C0D" w:rsidRPr="00AC3C0D" w:rsidRDefault="00017533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+14.101</w:t>
            </w:r>
          </w:p>
        </w:tc>
      </w:tr>
      <w:tr w:rsidR="00AC3C0D" w:rsidRPr="00372E74" w14:paraId="4D8273F0" w14:textId="77777777" w:rsidTr="00CF37BF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319C03CD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Környezetvédelmi bírság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494A96A7" w14:textId="77777777" w:rsidR="00AC3C0D" w:rsidRPr="00AC3C0D" w:rsidRDefault="00017533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+72</w:t>
            </w:r>
          </w:p>
        </w:tc>
      </w:tr>
      <w:tr w:rsidR="00902428" w:rsidRPr="00372E74" w14:paraId="5FF63E21" w14:textId="77777777" w:rsidTr="00CF37BF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20A68DEA" w14:textId="77777777" w:rsidR="00902428" w:rsidRPr="00AC3C0D" w:rsidRDefault="00902428" w:rsidP="00CF37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Egyéb közhatalmi bevételek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309F07AD" w14:textId="77777777" w:rsidR="00902428" w:rsidRPr="00AC3C0D" w:rsidRDefault="00017533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+1.135</w:t>
            </w:r>
          </w:p>
        </w:tc>
      </w:tr>
      <w:tr w:rsidR="00AC3C0D" w:rsidRPr="00372E74" w14:paraId="5D108F1D" w14:textId="77777777" w:rsidTr="00CF37BF">
        <w:tc>
          <w:tcPr>
            <w:tcW w:w="6308" w:type="dxa"/>
            <w:tcBorders>
              <w:top w:val="single" w:sz="4" w:space="0" w:color="auto"/>
            </w:tcBorders>
            <w:shd w:val="clear" w:color="auto" w:fill="auto"/>
          </w:tcPr>
          <w:p w14:paraId="04BA605E" w14:textId="77777777" w:rsidR="00AC3C0D" w:rsidRPr="00AC3C0D" w:rsidRDefault="00AC3C0D" w:rsidP="00CF37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14:paraId="7D0FAA98" w14:textId="77777777" w:rsidR="00AC3C0D" w:rsidRPr="00AC3C0D" w:rsidRDefault="00017533" w:rsidP="00CF37B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+1.942.097</w:t>
            </w:r>
          </w:p>
        </w:tc>
      </w:tr>
      <w:bookmarkEnd w:id="2"/>
      <w:bookmarkEnd w:id="3"/>
    </w:tbl>
    <w:p w14:paraId="5F4F3C27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DC37E3A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FCE8403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>B.) Vagyongazdálkodási bevételek</w:t>
      </w:r>
    </w:p>
    <w:p w14:paraId="40AB3431" w14:textId="77777777" w:rsidR="00AC3C0D" w:rsidRPr="00AC3C0D" w:rsidRDefault="00AC3C0D" w:rsidP="00AC3C0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1"/>
        <w:gridCol w:w="2751"/>
      </w:tblGrid>
      <w:tr w:rsidR="00AC3C0D" w:rsidRPr="00372E74" w14:paraId="7EE3E38A" w14:textId="77777777" w:rsidTr="00CF37BF">
        <w:trPr>
          <w:trHeight w:val="572"/>
        </w:trPr>
        <w:tc>
          <w:tcPr>
            <w:tcW w:w="6311" w:type="dxa"/>
            <w:shd w:val="clear" w:color="auto" w:fill="auto"/>
          </w:tcPr>
          <w:p w14:paraId="02FE121F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1" w:type="dxa"/>
            <w:shd w:val="clear" w:color="auto" w:fill="auto"/>
          </w:tcPr>
          <w:p w14:paraId="6809EC53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5FBC2DC7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51352547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AC3C0D" w:rsidRPr="00372E74" w14:paraId="427CD67F" w14:textId="77777777" w:rsidTr="00CF37BF">
        <w:tc>
          <w:tcPr>
            <w:tcW w:w="6311" w:type="dxa"/>
            <w:shd w:val="clear" w:color="auto" w:fill="auto"/>
          </w:tcPr>
          <w:p w14:paraId="079D21AB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Vagyongazdálkodási bevétel többlete</w:t>
            </w:r>
          </w:p>
        </w:tc>
        <w:tc>
          <w:tcPr>
            <w:tcW w:w="2751" w:type="dxa"/>
            <w:shd w:val="clear" w:color="auto" w:fill="auto"/>
          </w:tcPr>
          <w:p w14:paraId="32214C67" w14:textId="77777777" w:rsidR="00AC3C0D" w:rsidRPr="00AC3C0D" w:rsidRDefault="0075347B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+221.336</w:t>
            </w:r>
          </w:p>
        </w:tc>
      </w:tr>
      <w:tr w:rsidR="00AC3C0D" w:rsidRPr="00372E74" w14:paraId="39658DF2" w14:textId="77777777" w:rsidTr="00CF37BF">
        <w:tc>
          <w:tcPr>
            <w:tcW w:w="6311" w:type="dxa"/>
            <w:shd w:val="clear" w:color="auto" w:fill="auto"/>
          </w:tcPr>
          <w:p w14:paraId="4A3DA020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Nyugdíjas</w:t>
            </w:r>
            <w:r w:rsidR="0075347B">
              <w:rPr>
                <w:rFonts w:ascii="Calibri" w:hAnsi="Calibri" w:cs="Calibri"/>
                <w:sz w:val="22"/>
                <w:szCs w:val="22"/>
              </w:rPr>
              <w:t xml:space="preserve"> Bérlők</w:t>
            </w:r>
            <w:r w:rsidRPr="00AC3C0D">
              <w:rPr>
                <w:rFonts w:ascii="Calibri" w:hAnsi="Calibri" w:cs="Calibri"/>
                <w:sz w:val="22"/>
                <w:szCs w:val="22"/>
              </w:rPr>
              <w:t xml:space="preserve"> Háza befizetés többlete</w:t>
            </w:r>
          </w:p>
        </w:tc>
        <w:tc>
          <w:tcPr>
            <w:tcW w:w="2751" w:type="dxa"/>
            <w:shd w:val="clear" w:color="auto" w:fill="auto"/>
          </w:tcPr>
          <w:p w14:paraId="3934CB3C" w14:textId="77777777" w:rsidR="00AC3C0D" w:rsidRPr="00AC3C0D" w:rsidRDefault="0075347B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+28.100</w:t>
            </w:r>
          </w:p>
        </w:tc>
      </w:tr>
      <w:tr w:rsidR="0075347B" w:rsidRPr="00372E74" w14:paraId="209D2D44" w14:textId="77777777" w:rsidTr="00CF37BF">
        <w:tc>
          <w:tcPr>
            <w:tcW w:w="6311" w:type="dxa"/>
            <w:shd w:val="clear" w:color="auto" w:fill="auto"/>
          </w:tcPr>
          <w:p w14:paraId="08034BE4" w14:textId="77777777" w:rsidR="0075347B" w:rsidRPr="00AC3C0D" w:rsidRDefault="0075347B" w:rsidP="00CF37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Részesedések megszűnéséhez kapcsolódó bevétel többlete</w:t>
            </w:r>
          </w:p>
        </w:tc>
        <w:tc>
          <w:tcPr>
            <w:tcW w:w="2751" w:type="dxa"/>
            <w:shd w:val="clear" w:color="auto" w:fill="auto"/>
          </w:tcPr>
          <w:p w14:paraId="01832E8B" w14:textId="77777777" w:rsidR="0075347B" w:rsidRDefault="0075347B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+2.700</w:t>
            </w:r>
          </w:p>
        </w:tc>
      </w:tr>
      <w:tr w:rsidR="00AC3C0D" w:rsidRPr="00372E74" w14:paraId="3424585C" w14:textId="77777777" w:rsidTr="00CF37BF">
        <w:tc>
          <w:tcPr>
            <w:tcW w:w="6311" w:type="dxa"/>
            <w:shd w:val="clear" w:color="auto" w:fill="auto"/>
          </w:tcPr>
          <w:p w14:paraId="48DE47F8" w14:textId="77777777" w:rsidR="00AC3C0D" w:rsidRPr="00AC3C0D" w:rsidRDefault="00AC3C0D" w:rsidP="00CF37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1" w:type="dxa"/>
            <w:shd w:val="clear" w:color="auto" w:fill="auto"/>
          </w:tcPr>
          <w:p w14:paraId="127BD844" w14:textId="77777777" w:rsidR="00AC3C0D" w:rsidRPr="00AC3C0D" w:rsidRDefault="0075347B" w:rsidP="00CF37B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+252.136</w:t>
            </w:r>
          </w:p>
        </w:tc>
      </w:tr>
    </w:tbl>
    <w:p w14:paraId="715E88FA" w14:textId="77777777" w:rsidR="00774858" w:rsidRDefault="00774858" w:rsidP="00AC3C0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2B9CA91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C.) Működési bevételek előirányzatainak rendezése </w:t>
      </w:r>
    </w:p>
    <w:p w14:paraId="3C9CFE4F" w14:textId="77777777" w:rsidR="00AC3C0D" w:rsidRPr="00AC3C0D" w:rsidRDefault="00AC3C0D" w:rsidP="00AC3C0D">
      <w:pPr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57"/>
      </w:tblGrid>
      <w:tr w:rsidR="00AC3C0D" w:rsidRPr="00372E74" w14:paraId="293EB55F" w14:textId="77777777" w:rsidTr="00CF37BF">
        <w:trPr>
          <w:trHeight w:val="572"/>
        </w:trPr>
        <w:tc>
          <w:tcPr>
            <w:tcW w:w="6305" w:type="dxa"/>
            <w:shd w:val="clear" w:color="auto" w:fill="auto"/>
          </w:tcPr>
          <w:p w14:paraId="6DD4EA2C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7" w:type="dxa"/>
            <w:shd w:val="clear" w:color="auto" w:fill="auto"/>
          </w:tcPr>
          <w:p w14:paraId="1C289325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5BA1C157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67830AB5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AC3C0D" w:rsidRPr="00372E74" w14:paraId="5AC8CB52" w14:textId="77777777" w:rsidTr="00CF37BF">
        <w:tc>
          <w:tcPr>
            <w:tcW w:w="6305" w:type="dxa"/>
            <w:shd w:val="clear" w:color="auto" w:fill="auto"/>
          </w:tcPr>
          <w:p w14:paraId="65C0BB67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Tavak haszonbérbe adása</w:t>
            </w:r>
          </w:p>
        </w:tc>
        <w:tc>
          <w:tcPr>
            <w:tcW w:w="2757" w:type="dxa"/>
            <w:shd w:val="clear" w:color="auto" w:fill="auto"/>
          </w:tcPr>
          <w:p w14:paraId="2DE2399B" w14:textId="77777777" w:rsidR="00AC3C0D" w:rsidRPr="00AC3C0D" w:rsidRDefault="00504579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+905</w:t>
            </w:r>
          </w:p>
        </w:tc>
      </w:tr>
      <w:tr w:rsidR="00AC3C0D" w:rsidRPr="00372E74" w14:paraId="6B35EF38" w14:textId="77777777" w:rsidTr="00CF37BF">
        <w:tc>
          <w:tcPr>
            <w:tcW w:w="6305" w:type="dxa"/>
            <w:shd w:val="clear" w:color="auto" w:fill="auto"/>
          </w:tcPr>
          <w:p w14:paraId="642CE4B9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Egyéb bevétel</w:t>
            </w:r>
          </w:p>
        </w:tc>
        <w:tc>
          <w:tcPr>
            <w:tcW w:w="2757" w:type="dxa"/>
            <w:shd w:val="clear" w:color="auto" w:fill="auto"/>
          </w:tcPr>
          <w:p w14:paraId="294F888A" w14:textId="77777777" w:rsidR="00AC3C0D" w:rsidRPr="00AC3C0D" w:rsidRDefault="00504579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+14.690</w:t>
            </w:r>
          </w:p>
        </w:tc>
      </w:tr>
      <w:tr w:rsidR="00AC3C0D" w:rsidRPr="00372E74" w14:paraId="66F5516F" w14:textId="77777777" w:rsidTr="00CF37BF">
        <w:tc>
          <w:tcPr>
            <w:tcW w:w="6305" w:type="dxa"/>
            <w:shd w:val="clear" w:color="auto" w:fill="auto"/>
          </w:tcPr>
          <w:p w14:paraId="0F27366D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ELAMEN R</w:t>
            </w:r>
            <w:r w:rsidR="00504579">
              <w:rPr>
                <w:rFonts w:ascii="Calibri" w:hAnsi="Calibri" w:cs="Calibri"/>
                <w:sz w:val="22"/>
                <w:szCs w:val="22"/>
              </w:rPr>
              <w:t>t.</w:t>
            </w:r>
            <w:r w:rsidRPr="00AC3C0D">
              <w:rPr>
                <w:rFonts w:ascii="Calibri" w:hAnsi="Calibri" w:cs="Calibri"/>
                <w:sz w:val="22"/>
                <w:szCs w:val="22"/>
              </w:rPr>
              <w:t>, és egyéb bérleti díjak</w:t>
            </w:r>
          </w:p>
        </w:tc>
        <w:tc>
          <w:tcPr>
            <w:tcW w:w="2757" w:type="dxa"/>
            <w:shd w:val="clear" w:color="auto" w:fill="auto"/>
          </w:tcPr>
          <w:p w14:paraId="6E5FA978" w14:textId="77777777" w:rsidR="00AC3C0D" w:rsidRPr="00AC3C0D" w:rsidRDefault="00504579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+10.643</w:t>
            </w:r>
          </w:p>
        </w:tc>
      </w:tr>
      <w:tr w:rsidR="00504579" w:rsidRPr="00372E74" w14:paraId="682F5090" w14:textId="77777777" w:rsidTr="00CF37BF">
        <w:tc>
          <w:tcPr>
            <w:tcW w:w="6305" w:type="dxa"/>
            <w:shd w:val="clear" w:color="auto" w:fill="auto"/>
          </w:tcPr>
          <w:p w14:paraId="6C41FE71" w14:textId="77777777" w:rsidR="00504579" w:rsidRPr="00AC3C0D" w:rsidRDefault="00504579" w:rsidP="005045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4579">
              <w:rPr>
                <w:rFonts w:ascii="Calibri" w:hAnsi="Calibri" w:cs="Calibri"/>
                <w:sz w:val="22"/>
                <w:szCs w:val="22"/>
              </w:rPr>
              <w:t>Szombathelyi Neumann J.Ált.Isk.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4579">
              <w:rPr>
                <w:rFonts w:ascii="Calibri" w:hAnsi="Calibri" w:cs="Calibri"/>
                <w:sz w:val="22"/>
                <w:szCs w:val="22"/>
              </w:rPr>
              <w:t>területén 3 db műfüves labdarúgó pálya éves karbantartási, továbbszámlázott költségének megtérítése</w:t>
            </w:r>
          </w:p>
        </w:tc>
        <w:tc>
          <w:tcPr>
            <w:tcW w:w="2757" w:type="dxa"/>
            <w:shd w:val="clear" w:color="auto" w:fill="auto"/>
          </w:tcPr>
          <w:p w14:paraId="3ACB1D34" w14:textId="77777777" w:rsidR="00504579" w:rsidRDefault="00504579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D2C19F3" w14:textId="77777777" w:rsidR="00504579" w:rsidRDefault="00504579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FEC52BF" w14:textId="77777777" w:rsidR="00504579" w:rsidRDefault="00504579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+403</w:t>
            </w:r>
          </w:p>
        </w:tc>
      </w:tr>
      <w:tr w:rsidR="00D42BBC" w:rsidRPr="00372E74" w14:paraId="377C9FE7" w14:textId="77777777" w:rsidTr="00CF37BF">
        <w:tc>
          <w:tcPr>
            <w:tcW w:w="6305" w:type="dxa"/>
            <w:shd w:val="clear" w:color="auto" w:fill="auto"/>
          </w:tcPr>
          <w:p w14:paraId="7A3282B8" w14:textId="77777777" w:rsidR="00D42BBC" w:rsidRPr="00504579" w:rsidRDefault="00D42BBC" w:rsidP="005045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Biztosító </w:t>
            </w:r>
            <w:r>
              <w:rPr>
                <w:rFonts w:ascii="Calibri" w:hAnsi="Calibri" w:cs="Calibri"/>
                <w:sz w:val="22"/>
                <w:szCs w:val="22"/>
              </w:rPr>
              <w:t>térítése, egyéb kártérítés, kötbér</w:t>
            </w:r>
          </w:p>
        </w:tc>
        <w:tc>
          <w:tcPr>
            <w:tcW w:w="2757" w:type="dxa"/>
            <w:shd w:val="clear" w:color="auto" w:fill="auto"/>
          </w:tcPr>
          <w:p w14:paraId="7ECDC7F3" w14:textId="77777777" w:rsidR="00D42BBC" w:rsidRDefault="00D42BBC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-429</w:t>
            </w:r>
          </w:p>
        </w:tc>
      </w:tr>
      <w:tr w:rsidR="00AC3C0D" w:rsidRPr="00372E74" w14:paraId="6A320E7F" w14:textId="77777777" w:rsidTr="00CF37BF">
        <w:tc>
          <w:tcPr>
            <w:tcW w:w="6305" w:type="dxa"/>
            <w:shd w:val="clear" w:color="auto" w:fill="auto"/>
          </w:tcPr>
          <w:p w14:paraId="430F26AD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SZOVA Zrt. </w:t>
            </w:r>
            <w:r w:rsidR="00D42BBC">
              <w:rPr>
                <w:rFonts w:ascii="Calibri" w:hAnsi="Calibri" w:cs="Calibri"/>
                <w:sz w:val="22"/>
                <w:szCs w:val="22"/>
              </w:rPr>
              <w:t>p</w:t>
            </w:r>
            <w:r w:rsidRPr="00AC3C0D">
              <w:rPr>
                <w:rFonts w:ascii="Calibri" w:hAnsi="Calibri" w:cs="Calibri"/>
                <w:sz w:val="22"/>
                <w:szCs w:val="22"/>
              </w:rPr>
              <w:t>arkolás-gazdálkodásból származó bevétel</w:t>
            </w:r>
          </w:p>
        </w:tc>
        <w:tc>
          <w:tcPr>
            <w:tcW w:w="2757" w:type="dxa"/>
            <w:shd w:val="clear" w:color="auto" w:fill="auto"/>
          </w:tcPr>
          <w:p w14:paraId="374B98CF" w14:textId="77777777" w:rsidR="00AC3C0D" w:rsidRPr="00AC3C0D" w:rsidRDefault="00D42BBC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+150.959</w:t>
            </w:r>
          </w:p>
        </w:tc>
      </w:tr>
      <w:tr w:rsidR="00AC3C0D" w:rsidRPr="00372E74" w14:paraId="0869C7AF" w14:textId="77777777" w:rsidTr="00CF37BF">
        <w:tc>
          <w:tcPr>
            <w:tcW w:w="6305" w:type="dxa"/>
            <w:shd w:val="clear" w:color="auto" w:fill="auto"/>
          </w:tcPr>
          <w:p w14:paraId="1D62FB0D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Egyéb működési célú bevétel</w:t>
            </w:r>
          </w:p>
        </w:tc>
        <w:tc>
          <w:tcPr>
            <w:tcW w:w="2757" w:type="dxa"/>
            <w:shd w:val="clear" w:color="auto" w:fill="auto"/>
          </w:tcPr>
          <w:p w14:paraId="7945DE30" w14:textId="77777777" w:rsidR="00AC3C0D" w:rsidRPr="00AC3C0D" w:rsidRDefault="00D42BBC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+5.727</w:t>
            </w:r>
          </w:p>
        </w:tc>
      </w:tr>
      <w:tr w:rsidR="00AC3C0D" w:rsidRPr="00372E74" w14:paraId="3AF0AA65" w14:textId="77777777" w:rsidTr="00CF37BF">
        <w:tc>
          <w:tcPr>
            <w:tcW w:w="6305" w:type="dxa"/>
            <w:shd w:val="clear" w:color="auto" w:fill="auto"/>
          </w:tcPr>
          <w:p w14:paraId="5D1E3BF2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Földhaszonbérlet</w:t>
            </w:r>
          </w:p>
        </w:tc>
        <w:tc>
          <w:tcPr>
            <w:tcW w:w="2757" w:type="dxa"/>
            <w:shd w:val="clear" w:color="auto" w:fill="auto"/>
          </w:tcPr>
          <w:p w14:paraId="6BEE95AB" w14:textId="77777777" w:rsidR="00AC3C0D" w:rsidRPr="00AC3C0D" w:rsidRDefault="00D42BBC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</w:t>
            </w:r>
            <w:r w:rsidR="00075B3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AC3C0D" w:rsidRPr="00372E74" w14:paraId="4C616611" w14:textId="77777777" w:rsidTr="00CF37BF">
        <w:tc>
          <w:tcPr>
            <w:tcW w:w="6305" w:type="dxa"/>
            <w:shd w:val="clear" w:color="auto" w:fill="auto"/>
          </w:tcPr>
          <w:p w14:paraId="3DC5C679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lastRenderedPageBreak/>
              <w:t>Bérleti díj</w:t>
            </w:r>
          </w:p>
        </w:tc>
        <w:tc>
          <w:tcPr>
            <w:tcW w:w="2757" w:type="dxa"/>
            <w:shd w:val="clear" w:color="auto" w:fill="auto"/>
          </w:tcPr>
          <w:p w14:paraId="675BEB5E" w14:textId="77777777" w:rsidR="00AC3C0D" w:rsidRPr="00AC3C0D" w:rsidRDefault="00D42BBC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+8.324</w:t>
            </w:r>
          </w:p>
        </w:tc>
      </w:tr>
      <w:tr w:rsidR="00AC3C0D" w:rsidRPr="00372E74" w14:paraId="4820ECFE" w14:textId="77777777" w:rsidTr="00CF37BF">
        <w:tc>
          <w:tcPr>
            <w:tcW w:w="6305" w:type="dxa"/>
            <w:shd w:val="clear" w:color="auto" w:fill="auto"/>
          </w:tcPr>
          <w:p w14:paraId="4F9569C0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Közterület foglalás</w:t>
            </w:r>
          </w:p>
        </w:tc>
        <w:tc>
          <w:tcPr>
            <w:tcW w:w="2757" w:type="dxa"/>
            <w:shd w:val="clear" w:color="auto" w:fill="auto"/>
          </w:tcPr>
          <w:p w14:paraId="3206C0D8" w14:textId="77777777" w:rsidR="00AC3C0D" w:rsidRPr="00AC3C0D" w:rsidRDefault="00D42BBC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+10.206</w:t>
            </w:r>
          </w:p>
        </w:tc>
      </w:tr>
      <w:tr w:rsidR="00AC3C0D" w:rsidRPr="00372E74" w14:paraId="6BE97E86" w14:textId="77777777" w:rsidTr="00CF37BF">
        <w:tc>
          <w:tcPr>
            <w:tcW w:w="6305" w:type="dxa"/>
            <w:shd w:val="clear" w:color="auto" w:fill="auto"/>
          </w:tcPr>
          <w:p w14:paraId="3230B3E7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Szent Márton kártya értékesítése</w:t>
            </w:r>
          </w:p>
        </w:tc>
        <w:tc>
          <w:tcPr>
            <w:tcW w:w="2757" w:type="dxa"/>
            <w:shd w:val="clear" w:color="auto" w:fill="auto"/>
          </w:tcPr>
          <w:p w14:paraId="1172606A" w14:textId="77777777" w:rsidR="00AC3C0D" w:rsidRPr="00AC3C0D" w:rsidRDefault="00D42BBC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+26</w:t>
            </w:r>
          </w:p>
        </w:tc>
      </w:tr>
      <w:tr w:rsidR="00AC3C0D" w:rsidRPr="00372E74" w14:paraId="5C9920B6" w14:textId="77777777" w:rsidTr="00CF37BF">
        <w:tc>
          <w:tcPr>
            <w:tcW w:w="6305" w:type="dxa"/>
            <w:shd w:val="clear" w:color="auto" w:fill="auto"/>
          </w:tcPr>
          <w:p w14:paraId="77A7C779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Út-igénybevételi díj</w:t>
            </w:r>
          </w:p>
        </w:tc>
        <w:tc>
          <w:tcPr>
            <w:tcW w:w="2757" w:type="dxa"/>
            <w:shd w:val="clear" w:color="auto" w:fill="auto"/>
          </w:tcPr>
          <w:p w14:paraId="7A9C6344" w14:textId="77777777" w:rsidR="00AC3C0D" w:rsidRPr="00AC3C0D" w:rsidRDefault="00D42BBC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-487</w:t>
            </w:r>
          </w:p>
        </w:tc>
      </w:tr>
      <w:tr w:rsidR="00AC3C0D" w:rsidRPr="00372E74" w14:paraId="106D87A1" w14:textId="77777777" w:rsidTr="00CF37BF">
        <w:tc>
          <w:tcPr>
            <w:tcW w:w="6305" w:type="dxa"/>
            <w:shd w:val="clear" w:color="auto" w:fill="auto"/>
          </w:tcPr>
          <w:p w14:paraId="7988CD71" w14:textId="77777777" w:rsidR="00D42BBC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Kamatbevételek-</w:t>
            </w:r>
            <w:r w:rsidR="00D42BBC">
              <w:rPr>
                <w:rFonts w:ascii="Calibri" w:hAnsi="Calibri" w:cs="Calibri"/>
                <w:sz w:val="22"/>
                <w:szCs w:val="22"/>
              </w:rPr>
              <w:t xml:space="preserve"> Szombathelyi Sportközpont és Sportiskola Nkft. tagi kölcsön után</w:t>
            </w:r>
          </w:p>
        </w:tc>
        <w:tc>
          <w:tcPr>
            <w:tcW w:w="2757" w:type="dxa"/>
            <w:shd w:val="clear" w:color="auto" w:fill="auto"/>
          </w:tcPr>
          <w:p w14:paraId="103E5466" w14:textId="77777777" w:rsidR="00D42BBC" w:rsidRDefault="00D42BBC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23899B5" w14:textId="77777777" w:rsidR="00AC3C0D" w:rsidRPr="00AC3C0D" w:rsidRDefault="00D42BBC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+4.096</w:t>
            </w:r>
          </w:p>
        </w:tc>
      </w:tr>
      <w:tr w:rsidR="00D42BBC" w:rsidRPr="00372E74" w14:paraId="3446A1B6" w14:textId="77777777" w:rsidTr="00CF37BF">
        <w:tc>
          <w:tcPr>
            <w:tcW w:w="6305" w:type="dxa"/>
            <w:shd w:val="clear" w:color="auto" w:fill="auto"/>
          </w:tcPr>
          <w:p w14:paraId="54F8DAEB" w14:textId="77777777" w:rsidR="00D42BBC" w:rsidRPr="00AC3C0D" w:rsidRDefault="00D42BBC" w:rsidP="00D42BBC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>Kamatbevételek - Önkormányzat</w:t>
            </w:r>
          </w:p>
        </w:tc>
        <w:tc>
          <w:tcPr>
            <w:tcW w:w="2757" w:type="dxa"/>
            <w:shd w:val="clear" w:color="auto" w:fill="auto"/>
          </w:tcPr>
          <w:p w14:paraId="69F34262" w14:textId="77777777" w:rsidR="00D42BBC" w:rsidRPr="00AC3C0D" w:rsidRDefault="00D42BBC" w:rsidP="00D42BB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+211.260</w:t>
            </w:r>
          </w:p>
        </w:tc>
      </w:tr>
      <w:tr w:rsidR="00774858" w:rsidRPr="00372E74" w14:paraId="48CFA6B9" w14:textId="77777777" w:rsidTr="00CF37BF">
        <w:tc>
          <w:tcPr>
            <w:tcW w:w="6305" w:type="dxa"/>
            <w:shd w:val="clear" w:color="auto" w:fill="auto"/>
          </w:tcPr>
          <w:p w14:paraId="14B6A37A" w14:textId="77777777" w:rsidR="00774858" w:rsidRPr="00AC3C0D" w:rsidRDefault="00774858" w:rsidP="00D42B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Támogatások elszámolása – államháztartáson kívülről</w:t>
            </w:r>
          </w:p>
        </w:tc>
        <w:tc>
          <w:tcPr>
            <w:tcW w:w="2757" w:type="dxa"/>
            <w:shd w:val="clear" w:color="auto" w:fill="auto"/>
          </w:tcPr>
          <w:p w14:paraId="3DAA496D" w14:textId="77777777" w:rsidR="00774858" w:rsidRDefault="00774858" w:rsidP="00D42BB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+8</w:t>
            </w:r>
          </w:p>
        </w:tc>
      </w:tr>
      <w:tr w:rsidR="00D42BBC" w:rsidRPr="00372E74" w14:paraId="23F5ECAF" w14:textId="77777777" w:rsidTr="00CF37BF">
        <w:tc>
          <w:tcPr>
            <w:tcW w:w="6305" w:type="dxa"/>
            <w:shd w:val="clear" w:color="auto" w:fill="auto"/>
          </w:tcPr>
          <w:p w14:paraId="613BF606" w14:textId="77777777" w:rsidR="00D42BBC" w:rsidRPr="00AC3C0D" w:rsidRDefault="00D42BBC" w:rsidP="00D42B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7" w:type="dxa"/>
            <w:shd w:val="clear" w:color="auto" w:fill="auto"/>
          </w:tcPr>
          <w:p w14:paraId="545A36D2" w14:textId="77777777" w:rsidR="00D42BBC" w:rsidRPr="00AC3C0D" w:rsidRDefault="00CD192B" w:rsidP="00D42BB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+416.3</w:t>
            </w:r>
            <w:r w:rsidR="00774858">
              <w:rPr>
                <w:rFonts w:ascii="Calibri" w:hAnsi="Calibri" w:cs="Calibri"/>
                <w:b/>
                <w:sz w:val="22"/>
                <w:szCs w:val="22"/>
              </w:rPr>
              <w:t>40</w:t>
            </w:r>
          </w:p>
        </w:tc>
      </w:tr>
    </w:tbl>
    <w:p w14:paraId="2C85B99C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12E6CD1" w14:textId="77777777" w:rsidR="00AC3C0D" w:rsidRPr="00CD192B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  <w:r w:rsidRPr="00CD192B">
        <w:rPr>
          <w:rFonts w:ascii="Calibri" w:hAnsi="Calibri" w:cs="Calibri"/>
          <w:b/>
          <w:sz w:val="22"/>
          <w:szCs w:val="22"/>
          <w:u w:val="single"/>
        </w:rPr>
        <w:t>D.)</w:t>
      </w:r>
      <w:r w:rsidR="00CD192B" w:rsidRPr="00CD192B">
        <w:rPr>
          <w:rFonts w:ascii="Calibri" w:hAnsi="Calibri" w:cs="Calibri"/>
          <w:b/>
          <w:sz w:val="22"/>
          <w:szCs w:val="22"/>
          <w:u w:val="single"/>
        </w:rPr>
        <w:t xml:space="preserve"> Felalmozási célú támogatások államháztartáson kívülről előirányzatainak rendezése </w:t>
      </w:r>
    </w:p>
    <w:p w14:paraId="0D114AEC" w14:textId="77777777" w:rsidR="00AC3C0D" w:rsidRPr="00AC3C0D" w:rsidRDefault="00AC3C0D" w:rsidP="00AC3C0D">
      <w:pPr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4"/>
        <w:gridCol w:w="2748"/>
      </w:tblGrid>
      <w:tr w:rsidR="00AC3C0D" w:rsidRPr="00372E74" w14:paraId="281A56A1" w14:textId="77777777" w:rsidTr="00CF37BF">
        <w:trPr>
          <w:trHeight w:val="572"/>
        </w:trPr>
        <w:tc>
          <w:tcPr>
            <w:tcW w:w="6314" w:type="dxa"/>
            <w:shd w:val="clear" w:color="auto" w:fill="auto"/>
          </w:tcPr>
          <w:p w14:paraId="6B73EDAA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48" w:type="dxa"/>
            <w:shd w:val="clear" w:color="auto" w:fill="auto"/>
          </w:tcPr>
          <w:p w14:paraId="597179DC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715CC45C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0EE5FCA7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AC3C0D" w:rsidRPr="00372E74" w14:paraId="07916EEF" w14:textId="77777777" w:rsidTr="00CF37BF">
        <w:tc>
          <w:tcPr>
            <w:tcW w:w="6314" w:type="dxa"/>
            <w:shd w:val="clear" w:color="auto" w:fill="auto"/>
          </w:tcPr>
          <w:p w14:paraId="157A2EAA" w14:textId="77777777" w:rsidR="00AC3C0D" w:rsidRPr="00FF5B98" w:rsidRDefault="00CD192B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FF5B98">
              <w:rPr>
                <w:rFonts w:ascii="Calibri" w:hAnsi="Calibri" w:cs="Calibri"/>
                <w:sz w:val="22"/>
                <w:szCs w:val="22"/>
              </w:rPr>
              <w:t>Munkáltatói kölcsön visszatérülése</w:t>
            </w:r>
          </w:p>
        </w:tc>
        <w:tc>
          <w:tcPr>
            <w:tcW w:w="2748" w:type="dxa"/>
            <w:shd w:val="clear" w:color="auto" w:fill="auto"/>
          </w:tcPr>
          <w:p w14:paraId="0B5CF0E0" w14:textId="77777777" w:rsidR="00AC3C0D" w:rsidRPr="00AC3C0D" w:rsidRDefault="00CD192B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-1.001</w:t>
            </w:r>
          </w:p>
        </w:tc>
      </w:tr>
      <w:tr w:rsidR="00AC3C0D" w:rsidRPr="00372E74" w14:paraId="227013FE" w14:textId="77777777" w:rsidTr="00CF37BF">
        <w:tc>
          <w:tcPr>
            <w:tcW w:w="6314" w:type="dxa"/>
            <w:shd w:val="clear" w:color="auto" w:fill="auto"/>
          </w:tcPr>
          <w:p w14:paraId="71598B15" w14:textId="77777777" w:rsidR="00AC3C0D" w:rsidRPr="00FF5B98" w:rsidRDefault="00CD192B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FF5B98">
              <w:rPr>
                <w:rFonts w:ascii="Calibri" w:hAnsi="Calibri" w:cs="Calibri"/>
                <w:sz w:val="22"/>
                <w:szCs w:val="22"/>
              </w:rPr>
              <w:t>Lakáskölcsöntörlesztés</w:t>
            </w:r>
          </w:p>
        </w:tc>
        <w:tc>
          <w:tcPr>
            <w:tcW w:w="2748" w:type="dxa"/>
            <w:shd w:val="clear" w:color="auto" w:fill="auto"/>
          </w:tcPr>
          <w:p w14:paraId="133990AE" w14:textId="77777777" w:rsidR="00AC3C0D" w:rsidRPr="00AC3C0D" w:rsidRDefault="00CD192B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-16</w:t>
            </w:r>
          </w:p>
        </w:tc>
      </w:tr>
      <w:tr w:rsidR="00AC3C0D" w:rsidRPr="00372E74" w14:paraId="106BE5BE" w14:textId="77777777" w:rsidTr="00CF37BF">
        <w:tc>
          <w:tcPr>
            <w:tcW w:w="6314" w:type="dxa"/>
            <w:shd w:val="clear" w:color="auto" w:fill="auto"/>
          </w:tcPr>
          <w:p w14:paraId="40BBB444" w14:textId="77777777" w:rsidR="00AC3C0D" w:rsidRPr="00AC3C0D" w:rsidRDefault="00AC3C0D" w:rsidP="00CF37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48" w:type="dxa"/>
            <w:shd w:val="clear" w:color="auto" w:fill="auto"/>
          </w:tcPr>
          <w:p w14:paraId="7BFF68FE" w14:textId="77777777" w:rsidR="00AC3C0D" w:rsidRPr="00AC3C0D" w:rsidRDefault="00CD192B" w:rsidP="00CF37B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-1.017</w:t>
            </w:r>
          </w:p>
        </w:tc>
      </w:tr>
    </w:tbl>
    <w:p w14:paraId="16595B1B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D08CD4F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A III./A – D. pontok összegzése: </w:t>
      </w:r>
    </w:p>
    <w:p w14:paraId="55B939DF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AC3C0D" w:rsidRPr="00372E74" w14:paraId="2AB97515" w14:textId="77777777" w:rsidTr="00CF37BF">
        <w:tc>
          <w:tcPr>
            <w:tcW w:w="4542" w:type="dxa"/>
            <w:shd w:val="clear" w:color="auto" w:fill="auto"/>
          </w:tcPr>
          <w:p w14:paraId="3DEE08B0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20" w:type="dxa"/>
            <w:shd w:val="clear" w:color="auto" w:fill="auto"/>
          </w:tcPr>
          <w:p w14:paraId="6FD01842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1D3F9164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3C0D" w:rsidRPr="00372E74" w14:paraId="4EAC7D52" w14:textId="77777777" w:rsidTr="00CF37BF">
        <w:tc>
          <w:tcPr>
            <w:tcW w:w="4542" w:type="dxa"/>
            <w:shd w:val="clear" w:color="auto" w:fill="auto"/>
          </w:tcPr>
          <w:p w14:paraId="27CD729C" w14:textId="77777777" w:rsidR="00AC3C0D" w:rsidRPr="00AC3C0D" w:rsidRDefault="00AC3C0D" w:rsidP="00A16B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A.)</w:t>
            </w:r>
            <w:r w:rsidR="00AE1C0F" w:rsidRPr="00A16BD7">
              <w:rPr>
                <w:rFonts w:ascii="Calibri" w:hAnsi="Calibri" w:cs="Calibri"/>
                <w:sz w:val="22"/>
                <w:szCs w:val="22"/>
              </w:rPr>
              <w:t xml:space="preserve"> Működési célú támogatások</w:t>
            </w:r>
            <w:r w:rsidR="00A16BD7" w:rsidRPr="00A16BD7">
              <w:rPr>
                <w:rFonts w:ascii="Calibri" w:hAnsi="Calibri" w:cs="Calibri"/>
                <w:sz w:val="22"/>
                <w:szCs w:val="22"/>
              </w:rPr>
              <w:t xml:space="preserve"> államháztartáson belülről</w:t>
            </w:r>
            <w:r w:rsidR="00AE1C0F" w:rsidRPr="00A16BD7">
              <w:rPr>
                <w:rFonts w:ascii="Calibri" w:hAnsi="Calibri" w:cs="Calibri"/>
                <w:sz w:val="22"/>
                <w:szCs w:val="22"/>
              </w:rPr>
              <w:t xml:space="preserve"> és </w:t>
            </w:r>
            <w:r w:rsidR="00504579" w:rsidRPr="00A16BD7">
              <w:rPr>
                <w:rFonts w:ascii="Calibri" w:hAnsi="Calibri" w:cs="Calibri"/>
                <w:sz w:val="22"/>
                <w:szCs w:val="22"/>
              </w:rPr>
              <w:t xml:space="preserve">Közhatalmi </w:t>
            </w:r>
            <w:r w:rsidR="00504579" w:rsidRPr="00A16BD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bevételek</w:t>
            </w:r>
            <w:r w:rsidRPr="0050457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20" w:type="dxa"/>
            <w:shd w:val="clear" w:color="auto" w:fill="auto"/>
          </w:tcPr>
          <w:p w14:paraId="0FB28532" w14:textId="77777777" w:rsidR="00AC3C0D" w:rsidRPr="00AC3C0D" w:rsidRDefault="0075347B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+1.942.097</w:t>
            </w:r>
          </w:p>
        </w:tc>
      </w:tr>
      <w:tr w:rsidR="00AC3C0D" w:rsidRPr="00372E74" w14:paraId="189DAA69" w14:textId="77777777" w:rsidTr="00CF37BF">
        <w:tc>
          <w:tcPr>
            <w:tcW w:w="4542" w:type="dxa"/>
            <w:shd w:val="clear" w:color="auto" w:fill="auto"/>
          </w:tcPr>
          <w:p w14:paraId="4A50886F" w14:textId="77777777" w:rsidR="00AC3C0D" w:rsidRPr="00AC3C0D" w:rsidRDefault="00AC3C0D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B.) Vagyongazdálkodási </w:t>
            </w:r>
            <w:r w:rsidRPr="00AC3C0D">
              <w:rPr>
                <w:rFonts w:ascii="Calibri" w:hAnsi="Calibri" w:cs="Calibri"/>
                <w:b/>
                <w:i/>
                <w:sz w:val="22"/>
                <w:szCs w:val="22"/>
              </w:rPr>
              <w:t>bevételek</w:t>
            </w:r>
          </w:p>
        </w:tc>
        <w:tc>
          <w:tcPr>
            <w:tcW w:w="4520" w:type="dxa"/>
            <w:shd w:val="clear" w:color="auto" w:fill="auto"/>
          </w:tcPr>
          <w:p w14:paraId="0E8ED568" w14:textId="77777777" w:rsidR="00AC3C0D" w:rsidRPr="00504579" w:rsidRDefault="0075347B" w:rsidP="00CF37BF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4579">
              <w:rPr>
                <w:rFonts w:ascii="Calibri" w:hAnsi="Calibri" w:cs="Calibri"/>
                <w:b/>
                <w:bCs/>
                <w:sz w:val="22"/>
                <w:szCs w:val="22"/>
              </w:rPr>
              <w:t>+252.136</w:t>
            </w:r>
          </w:p>
        </w:tc>
      </w:tr>
      <w:tr w:rsidR="00AC3C0D" w:rsidRPr="00CD192B" w14:paraId="7143BF5E" w14:textId="77777777" w:rsidTr="00CF37BF">
        <w:tc>
          <w:tcPr>
            <w:tcW w:w="4542" w:type="dxa"/>
            <w:shd w:val="clear" w:color="auto" w:fill="auto"/>
          </w:tcPr>
          <w:p w14:paraId="739F3763" w14:textId="77777777" w:rsidR="00AC3C0D" w:rsidRPr="00AC3C0D" w:rsidRDefault="00AC3C0D" w:rsidP="00CF37B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C.) Működési </w:t>
            </w:r>
            <w:r w:rsidRPr="00AC3C0D">
              <w:rPr>
                <w:rFonts w:ascii="Calibri" w:hAnsi="Calibri" w:cs="Calibri"/>
                <w:b/>
                <w:i/>
                <w:sz w:val="22"/>
                <w:szCs w:val="22"/>
              </w:rPr>
              <w:t>bevételek</w:t>
            </w:r>
            <w:r w:rsidRPr="00AC3C0D">
              <w:rPr>
                <w:rFonts w:ascii="Calibri" w:hAnsi="Calibri" w:cs="Calibri"/>
                <w:sz w:val="22"/>
                <w:szCs w:val="22"/>
              </w:rPr>
              <w:t xml:space="preserve"> előirányzatainak rendezése </w:t>
            </w:r>
          </w:p>
        </w:tc>
        <w:tc>
          <w:tcPr>
            <w:tcW w:w="4520" w:type="dxa"/>
            <w:shd w:val="clear" w:color="auto" w:fill="auto"/>
          </w:tcPr>
          <w:p w14:paraId="3E1CC87A" w14:textId="77777777" w:rsidR="00AC3C0D" w:rsidRPr="00CD192B" w:rsidRDefault="00CD192B" w:rsidP="00CF37BF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192B">
              <w:rPr>
                <w:rFonts w:ascii="Calibri" w:hAnsi="Calibri" w:cs="Calibri"/>
                <w:b/>
                <w:bCs/>
                <w:sz w:val="22"/>
                <w:szCs w:val="22"/>
              </w:rPr>
              <w:t>+416.3</w:t>
            </w:r>
            <w:r w:rsidR="00774858">
              <w:rPr>
                <w:rFonts w:ascii="Calibri" w:hAnsi="Calibri" w:cs="Calibri"/>
                <w:b/>
                <w:bCs/>
                <w:sz w:val="22"/>
                <w:szCs w:val="22"/>
              </w:rPr>
              <w:t>40</w:t>
            </w:r>
          </w:p>
        </w:tc>
      </w:tr>
      <w:tr w:rsidR="00AC3C0D" w:rsidRPr="00CD192B" w14:paraId="1F8536D8" w14:textId="77777777" w:rsidTr="00CF37BF">
        <w:tc>
          <w:tcPr>
            <w:tcW w:w="4542" w:type="dxa"/>
            <w:shd w:val="clear" w:color="auto" w:fill="auto"/>
          </w:tcPr>
          <w:p w14:paraId="4F116B30" w14:textId="77777777" w:rsidR="00AC3C0D" w:rsidRPr="00AC3C0D" w:rsidRDefault="00AC3C0D" w:rsidP="00CF37B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C3C0D">
              <w:rPr>
                <w:rFonts w:ascii="Calibri" w:hAnsi="Calibri" w:cs="Calibri"/>
                <w:sz w:val="22"/>
                <w:szCs w:val="22"/>
              </w:rPr>
              <w:t xml:space="preserve">D.) </w:t>
            </w:r>
            <w:r w:rsidR="00CD192B">
              <w:rPr>
                <w:rFonts w:ascii="Calibri" w:hAnsi="Calibri" w:cs="Calibri"/>
                <w:sz w:val="22"/>
                <w:szCs w:val="22"/>
              </w:rPr>
              <w:t>Fel</w:t>
            </w:r>
            <w:r w:rsidRPr="00AC3C0D">
              <w:rPr>
                <w:rFonts w:ascii="Calibri" w:hAnsi="Calibri" w:cs="Calibri"/>
                <w:sz w:val="22"/>
                <w:szCs w:val="22"/>
              </w:rPr>
              <w:t>almozási célú támogatások államháztartáson</w:t>
            </w:r>
            <w:r w:rsidR="00CD192B">
              <w:rPr>
                <w:rFonts w:ascii="Calibri" w:hAnsi="Calibri" w:cs="Calibri"/>
                <w:sz w:val="22"/>
                <w:szCs w:val="22"/>
              </w:rPr>
              <w:t xml:space="preserve"> kívülről előirányzatainak</w:t>
            </w:r>
            <w:r w:rsidRPr="00AC3C0D">
              <w:rPr>
                <w:rFonts w:ascii="Calibri" w:hAnsi="Calibri" w:cs="Calibri"/>
                <w:sz w:val="22"/>
                <w:szCs w:val="22"/>
              </w:rPr>
              <w:t xml:space="preserve"> rendezése </w:t>
            </w:r>
          </w:p>
        </w:tc>
        <w:tc>
          <w:tcPr>
            <w:tcW w:w="4520" w:type="dxa"/>
            <w:shd w:val="clear" w:color="auto" w:fill="auto"/>
          </w:tcPr>
          <w:p w14:paraId="6A49FBF5" w14:textId="77777777" w:rsidR="00AC3C0D" w:rsidRPr="00CD192B" w:rsidRDefault="00AC3C0D" w:rsidP="00CF37BF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353D8F2" w14:textId="77777777" w:rsidR="00CD192B" w:rsidRPr="00CD192B" w:rsidRDefault="00CD192B" w:rsidP="00CF37BF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B687D1" w14:textId="77777777" w:rsidR="00CD192B" w:rsidRPr="00CD192B" w:rsidRDefault="00CD192B" w:rsidP="00CF37BF">
            <w:pPr>
              <w:ind w:left="72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192B">
              <w:rPr>
                <w:rFonts w:ascii="Calibri" w:hAnsi="Calibri" w:cs="Calibri"/>
                <w:b/>
                <w:bCs/>
                <w:sz w:val="22"/>
                <w:szCs w:val="22"/>
              </w:rPr>
              <w:t>-1.017</w:t>
            </w:r>
          </w:p>
        </w:tc>
      </w:tr>
      <w:tr w:rsidR="00AC3C0D" w:rsidRPr="00372E74" w14:paraId="163FB816" w14:textId="77777777" w:rsidTr="00CF37BF">
        <w:tc>
          <w:tcPr>
            <w:tcW w:w="4542" w:type="dxa"/>
            <w:shd w:val="clear" w:color="auto" w:fill="auto"/>
          </w:tcPr>
          <w:p w14:paraId="5495AEBF" w14:textId="77777777" w:rsidR="00AC3C0D" w:rsidRPr="00AC3C0D" w:rsidRDefault="00AC3C0D" w:rsidP="00CF37BF">
            <w:pPr>
              <w:tabs>
                <w:tab w:val="left" w:pos="287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 xml:space="preserve">Összevont egyenleg </w:t>
            </w:r>
            <w:r w:rsidRPr="00AC3C0D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14:paraId="0D5DAAA9" w14:textId="77777777" w:rsidR="00AC3C0D" w:rsidRPr="00AC3C0D" w:rsidRDefault="00AC3C0D" w:rsidP="00CF37B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20" w:type="dxa"/>
            <w:shd w:val="clear" w:color="auto" w:fill="auto"/>
          </w:tcPr>
          <w:p w14:paraId="5D68BDA1" w14:textId="77777777" w:rsidR="00AC3C0D" w:rsidRPr="00AC3C0D" w:rsidRDefault="00CD192B" w:rsidP="00CF37BF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+2.609.5</w:t>
            </w:r>
            <w:r w:rsidR="00774858">
              <w:rPr>
                <w:rFonts w:ascii="Calibri" w:hAnsi="Calibri" w:cs="Calibri"/>
                <w:b/>
                <w:sz w:val="22"/>
                <w:szCs w:val="22"/>
              </w:rPr>
              <w:t>56</w:t>
            </w:r>
          </w:p>
        </w:tc>
      </w:tr>
    </w:tbl>
    <w:p w14:paraId="2585DB5E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B3D618B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III. Költségvetési egyenleget  befolyásoló bevételi tételek egyenlege: </w:t>
      </w:r>
      <w:r w:rsidR="00CD192B">
        <w:rPr>
          <w:rFonts w:ascii="Calibri" w:hAnsi="Calibri" w:cs="Calibri"/>
          <w:b/>
          <w:sz w:val="22"/>
          <w:szCs w:val="22"/>
          <w:u w:val="single"/>
        </w:rPr>
        <w:t>+2.609.5</w:t>
      </w:r>
      <w:r w:rsidR="00774858">
        <w:rPr>
          <w:rFonts w:ascii="Calibri" w:hAnsi="Calibri" w:cs="Calibri"/>
          <w:b/>
          <w:sz w:val="22"/>
          <w:szCs w:val="22"/>
          <w:u w:val="single"/>
        </w:rPr>
        <w:t>56</w:t>
      </w: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  eFt.</w:t>
      </w:r>
    </w:p>
    <w:p w14:paraId="1CD3D469" w14:textId="77777777" w:rsidR="00AE1C0F" w:rsidRDefault="00AE1C0F" w:rsidP="00AC3C0D">
      <w:pPr>
        <w:rPr>
          <w:rFonts w:ascii="Calibri" w:hAnsi="Calibri" w:cs="Calibri"/>
          <w:b/>
          <w:sz w:val="22"/>
          <w:szCs w:val="22"/>
        </w:rPr>
      </w:pPr>
    </w:p>
    <w:p w14:paraId="05887B7E" w14:textId="77777777" w:rsidR="00883CBC" w:rsidRDefault="00883CBC" w:rsidP="00AC3C0D">
      <w:pPr>
        <w:rPr>
          <w:rFonts w:ascii="Calibri" w:hAnsi="Calibri" w:cs="Calibri"/>
          <w:b/>
          <w:sz w:val="22"/>
          <w:szCs w:val="22"/>
        </w:rPr>
      </w:pPr>
    </w:p>
    <w:p w14:paraId="5FF63EDA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</w:rPr>
      </w:pPr>
      <w:r w:rsidRPr="00AC3C0D">
        <w:rPr>
          <w:rFonts w:ascii="Calibri" w:hAnsi="Calibri" w:cs="Calibri"/>
          <w:b/>
          <w:sz w:val="22"/>
          <w:szCs w:val="22"/>
        </w:rPr>
        <w:t>IV.</w:t>
      </w:r>
      <w:r w:rsidR="00AE1C0F">
        <w:rPr>
          <w:rFonts w:ascii="Calibri" w:hAnsi="Calibri" w:cs="Calibri"/>
          <w:b/>
          <w:sz w:val="22"/>
          <w:szCs w:val="22"/>
        </w:rPr>
        <w:t xml:space="preserve">  </w:t>
      </w:r>
      <w:r w:rsidRPr="00AC3C0D">
        <w:rPr>
          <w:rFonts w:ascii="Calibri" w:hAnsi="Calibri" w:cs="Calibri"/>
          <w:b/>
          <w:sz w:val="22"/>
          <w:szCs w:val="22"/>
        </w:rPr>
        <w:t>Költségvetési egyenleget befolyásoló kiadási tételek, tartalékok egyenlege</w:t>
      </w:r>
    </w:p>
    <w:p w14:paraId="04D6263D" w14:textId="77777777" w:rsidR="00AC3C0D" w:rsidRPr="00AC3C0D" w:rsidRDefault="00AC3C0D" w:rsidP="00AC3C0D">
      <w:pPr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760"/>
      </w:tblGrid>
      <w:tr w:rsidR="00AC3C0D" w:rsidRPr="00372E74" w14:paraId="79C0873E" w14:textId="77777777" w:rsidTr="00CF37BF">
        <w:trPr>
          <w:trHeight w:val="572"/>
        </w:trPr>
        <w:tc>
          <w:tcPr>
            <w:tcW w:w="6302" w:type="dxa"/>
            <w:shd w:val="clear" w:color="auto" w:fill="auto"/>
          </w:tcPr>
          <w:p w14:paraId="26859AFF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60" w:type="dxa"/>
            <w:shd w:val="clear" w:color="auto" w:fill="auto"/>
          </w:tcPr>
          <w:p w14:paraId="6E980240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589B3461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(+) előjel hiányt csökkentő tétel</w:t>
            </w:r>
          </w:p>
          <w:p w14:paraId="55355311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(-) előjel hiányt növelő tétel</w:t>
            </w:r>
          </w:p>
        </w:tc>
      </w:tr>
      <w:tr w:rsidR="00AC3C0D" w:rsidRPr="00372E74" w14:paraId="1175DCF0" w14:textId="77777777" w:rsidTr="00CF37BF">
        <w:tc>
          <w:tcPr>
            <w:tcW w:w="6302" w:type="dxa"/>
            <w:shd w:val="clear" w:color="auto" w:fill="auto"/>
          </w:tcPr>
          <w:p w14:paraId="6A114E15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="006F0340">
              <w:rPr>
                <w:rFonts w:ascii="Calibri" w:hAnsi="Calibri" w:cs="Calibri"/>
                <w:sz w:val="22"/>
                <w:szCs w:val="22"/>
              </w:rPr>
              <w:t>erekítési különbözetek rendezése</w:t>
            </w:r>
          </w:p>
        </w:tc>
        <w:tc>
          <w:tcPr>
            <w:tcW w:w="2760" w:type="dxa"/>
            <w:shd w:val="clear" w:color="auto" w:fill="auto"/>
          </w:tcPr>
          <w:p w14:paraId="34ED5F82" w14:textId="77777777" w:rsidR="00AC3C0D" w:rsidRPr="00AC3C0D" w:rsidRDefault="006F0340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</w:t>
            </w:r>
          </w:p>
        </w:tc>
      </w:tr>
      <w:tr w:rsidR="00AC3C0D" w:rsidRPr="00372E74" w14:paraId="76AB1942" w14:textId="77777777" w:rsidTr="00CF37BF">
        <w:tc>
          <w:tcPr>
            <w:tcW w:w="6302" w:type="dxa"/>
            <w:shd w:val="clear" w:color="auto" w:fill="auto"/>
          </w:tcPr>
          <w:p w14:paraId="71A9AD70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790521">
              <w:rPr>
                <w:rFonts w:ascii="Calibri" w:hAnsi="Calibri" w:cs="Calibri"/>
                <w:sz w:val="22"/>
                <w:szCs w:val="22"/>
              </w:rPr>
              <w:t>Évközi tervezések, útfelújítás tervezések, egyéb tervezések</w:t>
            </w:r>
          </w:p>
        </w:tc>
        <w:tc>
          <w:tcPr>
            <w:tcW w:w="2760" w:type="dxa"/>
            <w:shd w:val="clear" w:color="auto" w:fill="auto"/>
          </w:tcPr>
          <w:p w14:paraId="156FA21E" w14:textId="77777777" w:rsidR="00AC3C0D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-287</w:t>
            </w:r>
          </w:p>
        </w:tc>
      </w:tr>
      <w:tr w:rsidR="00AC3C0D" w:rsidRPr="00372E74" w14:paraId="339B1C18" w14:textId="77777777" w:rsidTr="00CF37BF">
        <w:tc>
          <w:tcPr>
            <w:tcW w:w="6302" w:type="dxa"/>
            <w:shd w:val="clear" w:color="auto" w:fill="auto"/>
          </w:tcPr>
          <w:p w14:paraId="1CF4FA4E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A16BD7">
              <w:rPr>
                <w:rFonts w:ascii="Calibri" w:hAnsi="Calibri" w:cs="Calibri"/>
                <w:sz w:val="22"/>
                <w:szCs w:val="22"/>
              </w:rPr>
              <w:t>Közvilágítás díja</w:t>
            </w:r>
            <w:r w:rsidR="00AE1C0F" w:rsidRPr="00A16BD7">
              <w:rPr>
                <w:rFonts w:ascii="Calibri" w:hAnsi="Calibri" w:cs="Calibri"/>
                <w:sz w:val="22"/>
                <w:szCs w:val="22"/>
              </w:rPr>
              <w:t xml:space="preserve"> (rendszerhasználati díjak évközbeni változása miatt)</w:t>
            </w:r>
          </w:p>
        </w:tc>
        <w:tc>
          <w:tcPr>
            <w:tcW w:w="2760" w:type="dxa"/>
            <w:shd w:val="clear" w:color="auto" w:fill="auto"/>
          </w:tcPr>
          <w:p w14:paraId="7D334997" w14:textId="77777777" w:rsidR="00AC3C0D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-17.158</w:t>
            </w:r>
          </w:p>
        </w:tc>
      </w:tr>
      <w:tr w:rsidR="00AC3C0D" w:rsidRPr="00372E74" w14:paraId="4634DAB5" w14:textId="77777777" w:rsidTr="00CF37BF">
        <w:tc>
          <w:tcPr>
            <w:tcW w:w="6302" w:type="dxa"/>
            <w:shd w:val="clear" w:color="auto" w:fill="auto"/>
          </w:tcPr>
          <w:p w14:paraId="60919078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790521">
              <w:rPr>
                <w:rFonts w:ascii="Calibri" w:hAnsi="Calibri" w:cs="Calibri"/>
                <w:sz w:val="22"/>
                <w:szCs w:val="22"/>
              </w:rPr>
              <w:t>Szociális ágazat kiadásai - Posta költség</w:t>
            </w:r>
          </w:p>
        </w:tc>
        <w:tc>
          <w:tcPr>
            <w:tcW w:w="2760" w:type="dxa"/>
            <w:shd w:val="clear" w:color="auto" w:fill="auto"/>
          </w:tcPr>
          <w:p w14:paraId="4B603DEF" w14:textId="77777777" w:rsidR="00AC3C0D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-227</w:t>
            </w:r>
          </w:p>
        </w:tc>
      </w:tr>
      <w:tr w:rsidR="00AC3C0D" w:rsidRPr="00372E74" w14:paraId="1DB5A10F" w14:textId="77777777" w:rsidTr="00CF37BF">
        <w:tc>
          <w:tcPr>
            <w:tcW w:w="6302" w:type="dxa"/>
            <w:shd w:val="clear" w:color="auto" w:fill="auto"/>
          </w:tcPr>
          <w:p w14:paraId="74B72645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790521">
              <w:rPr>
                <w:rFonts w:ascii="Calibri" w:hAnsi="Calibri" w:cs="Calibri"/>
                <w:sz w:val="22"/>
                <w:szCs w:val="22"/>
              </w:rPr>
              <w:lastRenderedPageBreak/>
              <w:t>Közösségi Bérlakás Rendszer</w:t>
            </w:r>
          </w:p>
        </w:tc>
        <w:tc>
          <w:tcPr>
            <w:tcW w:w="2760" w:type="dxa"/>
            <w:shd w:val="clear" w:color="auto" w:fill="auto"/>
          </w:tcPr>
          <w:p w14:paraId="31442113" w14:textId="77777777" w:rsidR="00AC3C0D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-138</w:t>
            </w:r>
          </w:p>
        </w:tc>
      </w:tr>
      <w:tr w:rsidR="00AC3C0D" w:rsidRPr="00372E74" w14:paraId="0EF9567F" w14:textId="77777777" w:rsidTr="00CF37BF">
        <w:tc>
          <w:tcPr>
            <w:tcW w:w="6302" w:type="dxa"/>
            <w:shd w:val="clear" w:color="auto" w:fill="auto"/>
          </w:tcPr>
          <w:p w14:paraId="5BF0770B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790521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gyesített Bölcsődei Intézmény - </w:t>
            </w:r>
            <w:r w:rsidRPr="00790521">
              <w:rPr>
                <w:rFonts w:ascii="Calibri" w:hAnsi="Calibri" w:cs="Calibri"/>
                <w:sz w:val="22"/>
                <w:szCs w:val="22"/>
              </w:rPr>
              <w:t>csőtörés helyreállítási költségei</w:t>
            </w:r>
            <w:r>
              <w:rPr>
                <w:rFonts w:ascii="Calibri" w:hAnsi="Calibri" w:cs="Calibri"/>
                <w:sz w:val="22"/>
                <w:szCs w:val="22"/>
              </w:rPr>
              <w:t>nek biztosítása</w:t>
            </w:r>
          </w:p>
        </w:tc>
        <w:tc>
          <w:tcPr>
            <w:tcW w:w="2760" w:type="dxa"/>
            <w:shd w:val="clear" w:color="auto" w:fill="auto"/>
          </w:tcPr>
          <w:p w14:paraId="3313BC7C" w14:textId="77777777" w:rsidR="00790521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732B292" w14:textId="77777777" w:rsidR="00AC3C0D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-1.577</w:t>
            </w:r>
          </w:p>
        </w:tc>
      </w:tr>
      <w:tr w:rsidR="00AC3C0D" w:rsidRPr="00372E74" w14:paraId="5D84AA8A" w14:textId="77777777" w:rsidTr="00CF37BF">
        <w:tc>
          <w:tcPr>
            <w:tcW w:w="6302" w:type="dxa"/>
            <w:shd w:val="clear" w:color="auto" w:fill="auto"/>
          </w:tcPr>
          <w:p w14:paraId="0E77F63E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Központi költségvetés</w:t>
            </w:r>
            <w:r w:rsidRPr="00790521">
              <w:rPr>
                <w:rFonts w:ascii="Calibri" w:hAnsi="Calibri" w:cs="Calibri"/>
                <w:sz w:val="22"/>
                <w:szCs w:val="22"/>
              </w:rPr>
              <w:t xml:space="preserve"> részére visszafizetési kötelezettség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790521">
              <w:rPr>
                <w:rFonts w:ascii="Calibri" w:hAnsi="Calibri" w:cs="Calibri"/>
                <w:sz w:val="22"/>
                <w:szCs w:val="22"/>
              </w:rPr>
              <w:t>2022.évi feladatlapu tám</w:t>
            </w:r>
            <w:r>
              <w:rPr>
                <w:rFonts w:ascii="Calibri" w:hAnsi="Calibri" w:cs="Calibri"/>
                <w:sz w:val="22"/>
                <w:szCs w:val="22"/>
              </w:rPr>
              <w:t>ogatások elszámolása után</w:t>
            </w:r>
            <w:r w:rsidRPr="0079052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760" w:type="dxa"/>
            <w:shd w:val="clear" w:color="auto" w:fill="auto"/>
          </w:tcPr>
          <w:p w14:paraId="2B2E7387" w14:textId="77777777" w:rsidR="00AC3C0D" w:rsidRDefault="00AC3C0D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012D511" w14:textId="77777777" w:rsidR="00790521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-1.358</w:t>
            </w:r>
          </w:p>
        </w:tc>
      </w:tr>
      <w:tr w:rsidR="00AC3C0D" w:rsidRPr="00372E74" w14:paraId="384531A1" w14:textId="77777777" w:rsidTr="00CF37BF">
        <w:tc>
          <w:tcPr>
            <w:tcW w:w="6302" w:type="dxa"/>
            <w:shd w:val="clear" w:color="auto" w:fill="auto"/>
          </w:tcPr>
          <w:p w14:paraId="458F6745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790521">
              <w:rPr>
                <w:rFonts w:ascii="Calibri" w:hAnsi="Calibri" w:cs="Calibri"/>
                <w:sz w:val="22"/>
                <w:szCs w:val="22"/>
              </w:rPr>
              <w:t>Nyugdíjas Bérlők Háza - használatba vételi díj visszafizetése</w:t>
            </w:r>
          </w:p>
        </w:tc>
        <w:tc>
          <w:tcPr>
            <w:tcW w:w="2760" w:type="dxa"/>
            <w:shd w:val="clear" w:color="auto" w:fill="auto"/>
          </w:tcPr>
          <w:p w14:paraId="29799490" w14:textId="77777777" w:rsidR="00790521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-1.200</w:t>
            </w:r>
          </w:p>
        </w:tc>
      </w:tr>
      <w:tr w:rsidR="00AC3C0D" w:rsidRPr="00372E74" w14:paraId="11C47CF2" w14:textId="77777777" w:rsidTr="00CF37BF">
        <w:tc>
          <w:tcPr>
            <w:tcW w:w="6302" w:type="dxa"/>
            <w:shd w:val="clear" w:color="auto" w:fill="auto"/>
          </w:tcPr>
          <w:p w14:paraId="518DB4BF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790521">
              <w:rPr>
                <w:rFonts w:ascii="Calibri" w:hAnsi="Calibri" w:cs="Calibri"/>
                <w:sz w:val="22"/>
                <w:szCs w:val="22"/>
              </w:rPr>
              <w:t>Út-híd fenntartási kiadások 2024. évi útfelújítási program</w:t>
            </w:r>
          </w:p>
        </w:tc>
        <w:tc>
          <w:tcPr>
            <w:tcW w:w="2760" w:type="dxa"/>
            <w:shd w:val="clear" w:color="auto" w:fill="auto"/>
          </w:tcPr>
          <w:p w14:paraId="445BD343" w14:textId="77777777" w:rsidR="00AC3C0D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-400.000</w:t>
            </w:r>
          </w:p>
        </w:tc>
      </w:tr>
      <w:tr w:rsidR="00AC3C0D" w:rsidRPr="00372E74" w14:paraId="28065CFA" w14:textId="77777777" w:rsidTr="00CF37BF">
        <w:tc>
          <w:tcPr>
            <w:tcW w:w="6302" w:type="dxa"/>
            <w:shd w:val="clear" w:color="auto" w:fill="auto"/>
          </w:tcPr>
          <w:p w14:paraId="39FA0DF5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790521">
              <w:rPr>
                <w:rFonts w:ascii="Calibri" w:hAnsi="Calibri" w:cs="Calibri"/>
                <w:sz w:val="22"/>
                <w:szCs w:val="22"/>
              </w:rPr>
              <w:t>Felhalmozási kiadások- 2024. évi útfelújítási program</w:t>
            </w:r>
          </w:p>
        </w:tc>
        <w:tc>
          <w:tcPr>
            <w:tcW w:w="2760" w:type="dxa"/>
            <w:shd w:val="clear" w:color="auto" w:fill="auto"/>
          </w:tcPr>
          <w:p w14:paraId="48F632C4" w14:textId="77777777" w:rsidR="00AC3C0D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-400.000</w:t>
            </w:r>
          </w:p>
        </w:tc>
      </w:tr>
      <w:tr w:rsidR="00AC3C0D" w:rsidRPr="00372E74" w14:paraId="36996264" w14:textId="77777777" w:rsidTr="00CF37BF">
        <w:tc>
          <w:tcPr>
            <w:tcW w:w="6302" w:type="dxa"/>
            <w:shd w:val="clear" w:color="auto" w:fill="auto"/>
          </w:tcPr>
          <w:p w14:paraId="17299925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790521">
              <w:rPr>
                <w:rFonts w:ascii="Calibri" w:hAnsi="Calibri" w:cs="Calibri"/>
                <w:sz w:val="22"/>
                <w:szCs w:val="22"/>
              </w:rPr>
              <w:t>Általános tartalék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zárolása</w:t>
            </w:r>
          </w:p>
        </w:tc>
        <w:tc>
          <w:tcPr>
            <w:tcW w:w="2760" w:type="dxa"/>
            <w:shd w:val="clear" w:color="auto" w:fill="auto"/>
          </w:tcPr>
          <w:p w14:paraId="31E4EE5E" w14:textId="77777777" w:rsidR="00AC3C0D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+152</w:t>
            </w:r>
          </w:p>
        </w:tc>
      </w:tr>
      <w:tr w:rsidR="00790521" w:rsidRPr="00372E74" w14:paraId="0C11D7D0" w14:textId="77777777" w:rsidTr="00CF37BF">
        <w:tc>
          <w:tcPr>
            <w:tcW w:w="6302" w:type="dxa"/>
            <w:shd w:val="clear" w:color="auto" w:fill="auto"/>
          </w:tcPr>
          <w:p w14:paraId="356072CA" w14:textId="77777777" w:rsidR="00790521" w:rsidRPr="00790521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790521">
              <w:rPr>
                <w:rFonts w:ascii="Calibri" w:hAnsi="Calibri" w:cs="Calibri"/>
                <w:sz w:val="22"/>
                <w:szCs w:val="22"/>
              </w:rPr>
              <w:t>Tartalék - iparűzési adóelőleg visszafizetés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zárolása</w:t>
            </w:r>
          </w:p>
        </w:tc>
        <w:tc>
          <w:tcPr>
            <w:tcW w:w="2760" w:type="dxa"/>
            <w:shd w:val="clear" w:color="auto" w:fill="auto"/>
          </w:tcPr>
          <w:p w14:paraId="50208EC4" w14:textId="77777777" w:rsidR="00790521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+450.000</w:t>
            </w:r>
          </w:p>
        </w:tc>
      </w:tr>
      <w:tr w:rsidR="00AC3C0D" w:rsidRPr="00372E74" w14:paraId="2838868A" w14:textId="77777777" w:rsidTr="00CF37BF">
        <w:tc>
          <w:tcPr>
            <w:tcW w:w="6302" w:type="dxa"/>
            <w:shd w:val="clear" w:color="auto" w:fill="auto"/>
          </w:tcPr>
          <w:p w14:paraId="2390FB8A" w14:textId="77777777" w:rsidR="00AC3C0D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790521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zárolása</w:t>
            </w:r>
          </w:p>
        </w:tc>
        <w:tc>
          <w:tcPr>
            <w:tcW w:w="2760" w:type="dxa"/>
            <w:shd w:val="clear" w:color="auto" w:fill="auto"/>
          </w:tcPr>
          <w:p w14:paraId="0C0EA0B9" w14:textId="77777777" w:rsidR="00AC3C0D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+187.802</w:t>
            </w:r>
          </w:p>
        </w:tc>
      </w:tr>
      <w:tr w:rsidR="00790521" w:rsidRPr="00372E74" w14:paraId="6CF4964F" w14:textId="77777777" w:rsidTr="00CF37BF">
        <w:tc>
          <w:tcPr>
            <w:tcW w:w="6302" w:type="dxa"/>
            <w:shd w:val="clear" w:color="auto" w:fill="auto"/>
          </w:tcPr>
          <w:p w14:paraId="1B8E31DA" w14:textId="77777777" w:rsidR="00790521" w:rsidRPr="00AC3C0D" w:rsidRDefault="00790521" w:rsidP="00CF37BF">
            <w:pPr>
              <w:rPr>
                <w:rFonts w:ascii="Calibri" w:hAnsi="Calibri" w:cs="Calibri"/>
                <w:sz w:val="22"/>
                <w:szCs w:val="22"/>
              </w:rPr>
            </w:pPr>
            <w:r w:rsidRPr="00790521">
              <w:rPr>
                <w:rFonts w:ascii="Calibri" w:hAnsi="Calibri" w:cs="Calibri"/>
                <w:sz w:val="22"/>
                <w:szCs w:val="22"/>
              </w:rPr>
              <w:t>Tartalék - gyermek és szociális étkeztetés II.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90521">
              <w:rPr>
                <w:rFonts w:ascii="Calibri" w:hAnsi="Calibri" w:cs="Calibri"/>
                <w:sz w:val="22"/>
                <w:szCs w:val="22"/>
              </w:rPr>
              <w:t>félév kormányzati támogatás terhére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zárolása</w:t>
            </w:r>
          </w:p>
        </w:tc>
        <w:tc>
          <w:tcPr>
            <w:tcW w:w="2760" w:type="dxa"/>
            <w:shd w:val="clear" w:color="auto" w:fill="auto"/>
          </w:tcPr>
          <w:p w14:paraId="391B4A3E" w14:textId="77777777" w:rsidR="00790521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6FC0264" w14:textId="77777777" w:rsidR="00790521" w:rsidRPr="00AC3C0D" w:rsidRDefault="00790521" w:rsidP="00CF37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+62.800</w:t>
            </w:r>
          </w:p>
        </w:tc>
      </w:tr>
      <w:tr w:rsidR="00AC3C0D" w:rsidRPr="00372E74" w14:paraId="6D785524" w14:textId="77777777" w:rsidTr="00CF37BF">
        <w:tc>
          <w:tcPr>
            <w:tcW w:w="6302" w:type="dxa"/>
            <w:shd w:val="clear" w:color="auto" w:fill="auto"/>
          </w:tcPr>
          <w:p w14:paraId="7E3748AF" w14:textId="77777777" w:rsidR="00AC3C0D" w:rsidRPr="00AC3C0D" w:rsidRDefault="00AC3C0D" w:rsidP="00CF37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60" w:type="dxa"/>
            <w:shd w:val="clear" w:color="auto" w:fill="auto"/>
          </w:tcPr>
          <w:p w14:paraId="29EC68AC" w14:textId="77777777" w:rsidR="00AC3C0D" w:rsidRPr="00AC3C0D" w:rsidRDefault="009710CF" w:rsidP="00CF37BF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-121.196</w:t>
            </w:r>
          </w:p>
        </w:tc>
      </w:tr>
    </w:tbl>
    <w:p w14:paraId="3C672AEF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</w:rPr>
      </w:pPr>
    </w:p>
    <w:p w14:paraId="5CE6D92E" w14:textId="77777777" w:rsidR="00AC3C0D" w:rsidRPr="00AC3C0D" w:rsidRDefault="00AC3C0D" w:rsidP="00AC3C0D">
      <w:pPr>
        <w:rPr>
          <w:rFonts w:ascii="Calibri" w:hAnsi="Calibri" w:cs="Calibri"/>
          <w:b/>
          <w:sz w:val="22"/>
          <w:szCs w:val="22"/>
          <w:u w:val="single"/>
        </w:rPr>
      </w:pPr>
      <w:r w:rsidRPr="00AC3C0D">
        <w:rPr>
          <w:rFonts w:ascii="Calibri" w:hAnsi="Calibri" w:cs="Calibri"/>
          <w:b/>
          <w:sz w:val="22"/>
          <w:szCs w:val="22"/>
          <w:u w:val="single"/>
        </w:rPr>
        <w:t xml:space="preserve">IV.Költségvetési egyenleget befolyásoló kiadási tételek, tartalékok egyenlege: </w:t>
      </w:r>
      <w:r w:rsidR="001E5293">
        <w:rPr>
          <w:rFonts w:ascii="Calibri" w:hAnsi="Calibri" w:cs="Calibri"/>
          <w:b/>
          <w:sz w:val="22"/>
          <w:szCs w:val="22"/>
          <w:u w:val="single"/>
        </w:rPr>
        <w:t xml:space="preserve">  </w:t>
      </w:r>
      <w:r w:rsidR="009710CF">
        <w:rPr>
          <w:rFonts w:ascii="Calibri" w:hAnsi="Calibri" w:cs="Calibri"/>
          <w:b/>
          <w:sz w:val="22"/>
          <w:szCs w:val="22"/>
          <w:u w:val="single"/>
        </w:rPr>
        <w:t>-121.196</w:t>
      </w:r>
      <w:r w:rsidR="001E5293">
        <w:rPr>
          <w:rFonts w:ascii="Calibri" w:hAnsi="Calibri" w:cs="Calibri"/>
          <w:b/>
          <w:sz w:val="22"/>
          <w:szCs w:val="22"/>
          <w:u w:val="single"/>
        </w:rPr>
        <w:t xml:space="preserve">                  </w:t>
      </w:r>
      <w:r w:rsidRPr="00AC3C0D">
        <w:rPr>
          <w:rFonts w:ascii="Calibri" w:hAnsi="Calibri" w:cs="Calibri"/>
          <w:b/>
          <w:sz w:val="22"/>
          <w:szCs w:val="22"/>
          <w:u w:val="single"/>
        </w:rPr>
        <w:t>eFt</w:t>
      </w:r>
    </w:p>
    <w:p w14:paraId="1F26A90F" w14:textId="77777777" w:rsidR="00AC3C0D" w:rsidRDefault="00AC3C0D" w:rsidP="00AC3C0D">
      <w:pPr>
        <w:rPr>
          <w:rFonts w:ascii="Calibri" w:hAnsi="Calibri" w:cs="Calibri"/>
          <w:b/>
          <w:sz w:val="22"/>
          <w:szCs w:val="22"/>
        </w:rPr>
      </w:pPr>
    </w:p>
    <w:p w14:paraId="293054C8" w14:textId="77777777" w:rsidR="004C5F7D" w:rsidRPr="00386524" w:rsidRDefault="004C5F7D" w:rsidP="00AC3C0D">
      <w:pPr>
        <w:rPr>
          <w:rFonts w:ascii="Calibri" w:hAnsi="Calibri" w:cs="Calibri"/>
          <w:b/>
          <w:sz w:val="22"/>
          <w:szCs w:val="22"/>
        </w:rPr>
      </w:pPr>
      <w:r w:rsidRPr="00386524">
        <w:rPr>
          <w:rFonts w:ascii="Calibri" w:hAnsi="Calibri" w:cs="Calibri"/>
          <w:b/>
          <w:sz w:val="22"/>
          <w:szCs w:val="22"/>
        </w:rPr>
        <w:t>V. Bevételi és kiadási előirányzat zárolása</w:t>
      </w:r>
    </w:p>
    <w:p w14:paraId="3E313634" w14:textId="77777777" w:rsidR="004C5F7D" w:rsidRDefault="004C5F7D" w:rsidP="00AC3C0D">
      <w:pPr>
        <w:rPr>
          <w:rFonts w:ascii="Calibri" w:hAnsi="Calibri" w:cs="Calibri"/>
          <w:b/>
          <w:sz w:val="22"/>
          <w:szCs w:val="22"/>
        </w:rPr>
      </w:pPr>
    </w:p>
    <w:p w14:paraId="00F92F8D" w14:textId="77777777" w:rsidR="004C5F7D" w:rsidRDefault="004C5F7D" w:rsidP="00AE1C0F">
      <w:pPr>
        <w:jc w:val="both"/>
        <w:rPr>
          <w:rFonts w:ascii="Calibri" w:hAnsi="Calibri" w:cs="Calibri"/>
          <w:bCs/>
          <w:sz w:val="22"/>
          <w:szCs w:val="22"/>
        </w:rPr>
      </w:pPr>
      <w:r w:rsidRPr="004C5F7D">
        <w:rPr>
          <w:rFonts w:ascii="Calibri" w:hAnsi="Calibri" w:cs="Calibri"/>
          <w:bCs/>
          <w:sz w:val="22"/>
          <w:szCs w:val="22"/>
        </w:rPr>
        <w:t>A ”Tagi kölcsön visszatérülése (önkormányzati cégek energiaköltségének átmeneti rendezésére” költségvetési tétel 700.000 eFt összegű elői</w:t>
      </w:r>
      <w:r w:rsidR="003B1558">
        <w:rPr>
          <w:rFonts w:ascii="Calibri" w:hAnsi="Calibri" w:cs="Calibri"/>
          <w:bCs/>
          <w:sz w:val="22"/>
          <w:szCs w:val="22"/>
        </w:rPr>
        <w:t>r</w:t>
      </w:r>
      <w:r w:rsidRPr="004C5F7D">
        <w:rPr>
          <w:rFonts w:ascii="Calibri" w:hAnsi="Calibri" w:cs="Calibri"/>
          <w:bCs/>
          <w:sz w:val="22"/>
          <w:szCs w:val="22"/>
        </w:rPr>
        <w:t xml:space="preserve">ányzata mind a bevételek, mind pedig a kiadások között törlésre került. </w:t>
      </w:r>
    </w:p>
    <w:p w14:paraId="72A1F2B6" w14:textId="77777777" w:rsidR="004C5F7D" w:rsidRPr="004C5F7D" w:rsidRDefault="004C5F7D" w:rsidP="00AC3C0D">
      <w:pPr>
        <w:rPr>
          <w:rFonts w:ascii="Calibri" w:hAnsi="Calibri" w:cs="Calibri"/>
          <w:bCs/>
          <w:sz w:val="22"/>
          <w:szCs w:val="22"/>
        </w:rPr>
      </w:pPr>
    </w:p>
    <w:p w14:paraId="49E91CB0" w14:textId="77777777" w:rsidR="00AC3C0D" w:rsidRPr="00386524" w:rsidRDefault="004C5F7D" w:rsidP="004C5F7D">
      <w:pPr>
        <w:keepNext/>
        <w:jc w:val="both"/>
        <w:outlineLvl w:val="7"/>
        <w:rPr>
          <w:rFonts w:ascii="Calibri" w:hAnsi="Calibri" w:cs="Calibri"/>
          <w:b/>
          <w:bCs/>
          <w:sz w:val="22"/>
          <w:szCs w:val="22"/>
          <w:u w:val="single"/>
        </w:rPr>
      </w:pPr>
      <w:r w:rsidRPr="00386524">
        <w:rPr>
          <w:rFonts w:ascii="Calibri" w:hAnsi="Calibri" w:cs="Calibri"/>
          <w:b/>
          <w:bCs/>
          <w:sz w:val="22"/>
          <w:szCs w:val="22"/>
          <w:u w:val="single"/>
        </w:rPr>
        <w:t>V. Egyenleg: 0 eFt</w:t>
      </w:r>
    </w:p>
    <w:p w14:paraId="0EFE78F6" w14:textId="77777777" w:rsidR="004C5F7D" w:rsidRPr="00AC3C0D" w:rsidRDefault="004C5F7D" w:rsidP="00AC3C0D">
      <w:pPr>
        <w:keepNext/>
        <w:ind w:left="360"/>
        <w:jc w:val="both"/>
        <w:outlineLvl w:val="7"/>
        <w:rPr>
          <w:rFonts w:ascii="Calibri" w:hAnsi="Calibri" w:cs="Calibri"/>
          <w:b/>
          <w:bCs/>
          <w:sz w:val="22"/>
          <w:szCs w:val="22"/>
        </w:rPr>
      </w:pPr>
    </w:p>
    <w:p w14:paraId="537333DB" w14:textId="77777777" w:rsidR="00AC3C0D" w:rsidRPr="00AC3C0D" w:rsidRDefault="00AC3C0D" w:rsidP="00AC3C0D">
      <w:pPr>
        <w:keepNext/>
        <w:ind w:left="360"/>
        <w:jc w:val="both"/>
        <w:outlineLvl w:val="7"/>
        <w:rPr>
          <w:rFonts w:ascii="Calibri" w:hAnsi="Calibri" w:cs="Calibri"/>
          <w:b/>
          <w:bCs/>
          <w:sz w:val="22"/>
          <w:szCs w:val="22"/>
        </w:rPr>
      </w:pPr>
      <w:r w:rsidRPr="00AC3C0D">
        <w:rPr>
          <w:rFonts w:ascii="Calibri" w:hAnsi="Calibri" w:cs="Calibri"/>
          <w:b/>
          <w:bCs/>
          <w:sz w:val="22"/>
          <w:szCs w:val="22"/>
        </w:rPr>
        <w:t>V</w:t>
      </w:r>
      <w:r w:rsidR="004C5F7D">
        <w:rPr>
          <w:rFonts w:ascii="Calibri" w:hAnsi="Calibri" w:cs="Calibri"/>
          <w:b/>
          <w:bCs/>
          <w:sz w:val="22"/>
          <w:szCs w:val="22"/>
        </w:rPr>
        <w:t>I</w:t>
      </w:r>
      <w:r w:rsidRPr="00AC3C0D">
        <w:rPr>
          <w:rFonts w:ascii="Calibri" w:hAnsi="Calibri" w:cs="Calibri"/>
          <w:b/>
          <w:bCs/>
          <w:sz w:val="22"/>
          <w:szCs w:val="22"/>
        </w:rPr>
        <w:t xml:space="preserve">.A pénzügyi egyensúly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9"/>
      </w:tblGrid>
      <w:tr w:rsidR="00AC3C0D" w:rsidRPr="00372E74" w14:paraId="2C233A49" w14:textId="77777777" w:rsidTr="00CF37BF">
        <w:tc>
          <w:tcPr>
            <w:tcW w:w="4606" w:type="dxa"/>
            <w:shd w:val="clear" w:color="auto" w:fill="auto"/>
          </w:tcPr>
          <w:p w14:paraId="05994522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606" w:type="dxa"/>
            <w:shd w:val="clear" w:color="auto" w:fill="auto"/>
          </w:tcPr>
          <w:p w14:paraId="63FDE465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1E2FD5A1" w14:textId="77777777" w:rsidR="00AC3C0D" w:rsidRPr="00AC3C0D" w:rsidRDefault="00AC3C0D" w:rsidP="00CF37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C3C0D" w:rsidRPr="00372E74" w14:paraId="6C5DA88C" w14:textId="77777777" w:rsidTr="00CF37BF">
        <w:tc>
          <w:tcPr>
            <w:tcW w:w="4606" w:type="dxa"/>
            <w:shd w:val="clear" w:color="auto" w:fill="auto"/>
          </w:tcPr>
          <w:p w14:paraId="5E7FD038" w14:textId="77777777" w:rsidR="00AC3C0D" w:rsidRPr="00AC3C0D" w:rsidRDefault="00AC3C0D" w:rsidP="00CF37B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I. Utólagos tudomásulvételt jelentő tételek egyenlege</w:t>
            </w:r>
          </w:p>
        </w:tc>
        <w:tc>
          <w:tcPr>
            <w:tcW w:w="4606" w:type="dxa"/>
            <w:shd w:val="clear" w:color="auto" w:fill="auto"/>
          </w:tcPr>
          <w:p w14:paraId="6863DC0B" w14:textId="77777777" w:rsidR="00AC3C0D" w:rsidRDefault="00AC3C0D" w:rsidP="00CF37BF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FD7AD2" w14:textId="77777777" w:rsidR="00902DFF" w:rsidRPr="00AC3C0D" w:rsidRDefault="00902DFF" w:rsidP="00CF37BF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+35.734</w:t>
            </w:r>
          </w:p>
        </w:tc>
      </w:tr>
      <w:tr w:rsidR="00AC3C0D" w:rsidRPr="00372E74" w14:paraId="67C8A14C" w14:textId="77777777" w:rsidTr="00CF37BF">
        <w:tc>
          <w:tcPr>
            <w:tcW w:w="4606" w:type="dxa"/>
            <w:shd w:val="clear" w:color="auto" w:fill="auto"/>
          </w:tcPr>
          <w:p w14:paraId="6017F007" w14:textId="77777777" w:rsidR="00AC3C0D" w:rsidRPr="00AC3C0D" w:rsidRDefault="00AC3C0D" w:rsidP="00CF37B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II.Közgyűlési döntés alapján biztosított tételek egyenlege</w:t>
            </w:r>
          </w:p>
        </w:tc>
        <w:tc>
          <w:tcPr>
            <w:tcW w:w="4606" w:type="dxa"/>
            <w:shd w:val="clear" w:color="auto" w:fill="auto"/>
          </w:tcPr>
          <w:p w14:paraId="11602F69" w14:textId="77777777" w:rsidR="00AC3C0D" w:rsidRDefault="00AC3C0D" w:rsidP="00CF37BF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2079414" w14:textId="77777777" w:rsidR="00902DFF" w:rsidRPr="00AC3C0D" w:rsidRDefault="00902DFF" w:rsidP="00CF37BF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-78.063</w:t>
            </w:r>
          </w:p>
        </w:tc>
      </w:tr>
      <w:tr w:rsidR="00AC3C0D" w:rsidRPr="00372E74" w14:paraId="11C7F07C" w14:textId="77777777" w:rsidTr="00CF37BF">
        <w:tc>
          <w:tcPr>
            <w:tcW w:w="4606" w:type="dxa"/>
            <w:shd w:val="clear" w:color="auto" w:fill="auto"/>
          </w:tcPr>
          <w:p w14:paraId="16E0DF3E" w14:textId="77777777" w:rsidR="00AC3C0D" w:rsidRPr="00AC3C0D" w:rsidRDefault="00AC3C0D" w:rsidP="00CF37B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III. Költségvetési egyenleget befolyásoló bevételi tételek egyenlege</w:t>
            </w:r>
          </w:p>
        </w:tc>
        <w:tc>
          <w:tcPr>
            <w:tcW w:w="4606" w:type="dxa"/>
            <w:shd w:val="clear" w:color="auto" w:fill="auto"/>
          </w:tcPr>
          <w:p w14:paraId="4BE0FFF3" w14:textId="77777777" w:rsidR="00AC3C0D" w:rsidRPr="00AC3C0D" w:rsidRDefault="004C5F7D" w:rsidP="00CF37BF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+2.609.5</w:t>
            </w:r>
            <w:r w:rsidR="00774858">
              <w:rPr>
                <w:rFonts w:ascii="Calibri" w:hAnsi="Calibri" w:cs="Calibri"/>
                <w:b/>
                <w:sz w:val="22"/>
                <w:szCs w:val="22"/>
              </w:rPr>
              <w:t>56</w:t>
            </w:r>
          </w:p>
        </w:tc>
      </w:tr>
      <w:tr w:rsidR="00AC3C0D" w:rsidRPr="00372E74" w14:paraId="11CE3951" w14:textId="77777777" w:rsidTr="00CF37BF">
        <w:tc>
          <w:tcPr>
            <w:tcW w:w="4606" w:type="dxa"/>
            <w:shd w:val="clear" w:color="auto" w:fill="auto"/>
          </w:tcPr>
          <w:p w14:paraId="3E618B68" w14:textId="77777777" w:rsidR="00AC3C0D" w:rsidRPr="00AC3C0D" w:rsidRDefault="00AC3C0D" w:rsidP="00CF37B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>IV.Költségvetési egyenleget befolyásoló kiadási tételek, tartalékok egyenlege (megtakarítások)</w:t>
            </w:r>
          </w:p>
        </w:tc>
        <w:tc>
          <w:tcPr>
            <w:tcW w:w="4606" w:type="dxa"/>
            <w:shd w:val="clear" w:color="auto" w:fill="auto"/>
          </w:tcPr>
          <w:p w14:paraId="3F2DDDC3" w14:textId="77777777" w:rsidR="00AC3C0D" w:rsidRDefault="00AC3C0D" w:rsidP="00CF37BF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A15888" w14:textId="77777777" w:rsidR="009710CF" w:rsidRPr="00AC3C0D" w:rsidRDefault="009710CF" w:rsidP="00CF37BF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-121.196</w:t>
            </w:r>
          </w:p>
        </w:tc>
      </w:tr>
      <w:tr w:rsidR="004C5F7D" w:rsidRPr="00372E74" w14:paraId="034FD442" w14:textId="77777777" w:rsidTr="00CF37BF">
        <w:tc>
          <w:tcPr>
            <w:tcW w:w="4606" w:type="dxa"/>
            <w:shd w:val="clear" w:color="auto" w:fill="auto"/>
          </w:tcPr>
          <w:p w14:paraId="2F799F16" w14:textId="77777777" w:rsidR="004C5F7D" w:rsidRPr="00AC3C0D" w:rsidRDefault="004C5F7D" w:rsidP="00CF37B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V. Bevételi és kiadási előirányzatok zárolása</w:t>
            </w:r>
          </w:p>
        </w:tc>
        <w:tc>
          <w:tcPr>
            <w:tcW w:w="4606" w:type="dxa"/>
            <w:shd w:val="clear" w:color="auto" w:fill="auto"/>
          </w:tcPr>
          <w:p w14:paraId="67D8CD7B" w14:textId="77777777" w:rsidR="004C5F7D" w:rsidRPr="00AC3C0D" w:rsidRDefault="004C5F7D" w:rsidP="00CF37BF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AC3C0D" w:rsidRPr="00372E74" w14:paraId="48B21BA4" w14:textId="77777777" w:rsidTr="00CF37BF">
        <w:tc>
          <w:tcPr>
            <w:tcW w:w="4606" w:type="dxa"/>
            <w:shd w:val="clear" w:color="auto" w:fill="auto"/>
          </w:tcPr>
          <w:p w14:paraId="288EA306" w14:textId="77777777" w:rsidR="00AC3C0D" w:rsidRPr="00AC3C0D" w:rsidRDefault="00AC3C0D" w:rsidP="00CF37B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10D5C2" w14:textId="77777777" w:rsidR="00AC3C0D" w:rsidRPr="00AC3C0D" w:rsidRDefault="00AC3C0D" w:rsidP="00CF37B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C3C0D">
              <w:rPr>
                <w:rFonts w:ascii="Calibri" w:hAnsi="Calibri" w:cs="Calibri"/>
                <w:b/>
                <w:sz w:val="22"/>
                <w:szCs w:val="22"/>
              </w:rPr>
              <w:t xml:space="preserve">Összevont egyenleg </w:t>
            </w:r>
          </w:p>
          <w:p w14:paraId="37E51CEA" w14:textId="77777777" w:rsidR="00AC3C0D" w:rsidRPr="00AC3C0D" w:rsidRDefault="00AC3C0D" w:rsidP="00CF37B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B9301A4" w14:textId="77777777" w:rsidR="00AC3C0D" w:rsidRDefault="00AC3C0D" w:rsidP="00CF37BF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B2F01C" w14:textId="77777777" w:rsidR="009710CF" w:rsidRPr="00AC3C0D" w:rsidRDefault="009710CF" w:rsidP="00CF37BF">
            <w:pPr>
              <w:ind w:left="10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+2.446.0</w:t>
            </w:r>
            <w:r w:rsidR="00774858">
              <w:rPr>
                <w:rFonts w:ascii="Calibri" w:hAnsi="Calibri" w:cs="Calibri"/>
                <w:b/>
                <w:sz w:val="22"/>
                <w:szCs w:val="22"/>
              </w:rPr>
              <w:t>31</w:t>
            </w:r>
          </w:p>
        </w:tc>
      </w:tr>
    </w:tbl>
    <w:p w14:paraId="73DB48A1" w14:textId="77777777" w:rsidR="00A16BD7" w:rsidRPr="00A16BD7" w:rsidRDefault="00A16BD7" w:rsidP="00AC3C0D">
      <w:pPr>
        <w:ind w:left="-142"/>
        <w:jc w:val="both"/>
        <w:rPr>
          <w:rFonts w:ascii="Calibri" w:hAnsi="Calibri" w:cs="Calibri"/>
          <w:sz w:val="22"/>
          <w:szCs w:val="22"/>
        </w:rPr>
      </w:pPr>
    </w:p>
    <w:p w14:paraId="3E7E4877" w14:textId="77777777" w:rsidR="00AC3C0D" w:rsidRPr="00AC3C0D" w:rsidRDefault="00AC3C0D" w:rsidP="00AC3C0D">
      <w:pPr>
        <w:ind w:left="-142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A16BD7">
        <w:rPr>
          <w:rFonts w:ascii="Calibri" w:hAnsi="Calibri" w:cs="Calibri"/>
          <w:sz w:val="22"/>
          <w:szCs w:val="22"/>
        </w:rPr>
        <w:t>Az Önkormányzat a 202</w:t>
      </w:r>
      <w:r w:rsidR="00DA28B1">
        <w:rPr>
          <w:rFonts w:ascii="Calibri" w:hAnsi="Calibri" w:cs="Calibri"/>
          <w:sz w:val="22"/>
          <w:szCs w:val="22"/>
        </w:rPr>
        <w:t>3</w:t>
      </w:r>
      <w:r w:rsidRPr="00A16BD7">
        <w:rPr>
          <w:rFonts w:ascii="Calibri" w:hAnsi="Calibri" w:cs="Calibri"/>
          <w:sz w:val="22"/>
          <w:szCs w:val="22"/>
        </w:rPr>
        <w:t xml:space="preserve">. évi fegyelmezett gazdálkodással, helyi adóban elért többletbevételekkel, további vagyonértékesítésekkel </w:t>
      </w:r>
      <w:r w:rsidR="009710CF" w:rsidRPr="00A16BD7">
        <w:rPr>
          <w:rFonts w:ascii="Calibri" w:hAnsi="Calibri" w:cs="Calibri"/>
          <w:sz w:val="22"/>
          <w:szCs w:val="22"/>
        </w:rPr>
        <w:t>2.446.0</w:t>
      </w:r>
      <w:r w:rsidR="00774858">
        <w:rPr>
          <w:rFonts w:ascii="Calibri" w:hAnsi="Calibri" w:cs="Calibri"/>
          <w:sz w:val="22"/>
          <w:szCs w:val="22"/>
        </w:rPr>
        <w:t>31</w:t>
      </w:r>
      <w:r w:rsidR="009710CF" w:rsidRPr="00A16BD7">
        <w:rPr>
          <w:rFonts w:ascii="Calibri" w:hAnsi="Calibri" w:cs="Calibri"/>
          <w:sz w:val="22"/>
          <w:szCs w:val="22"/>
        </w:rPr>
        <w:t xml:space="preserve"> e</w:t>
      </w:r>
      <w:r w:rsidRPr="00A16BD7">
        <w:rPr>
          <w:rFonts w:ascii="Calibri" w:hAnsi="Calibri" w:cs="Calibri"/>
          <w:sz w:val="22"/>
          <w:szCs w:val="22"/>
        </w:rPr>
        <w:t xml:space="preserve">Ft összegű pozitív egyenleggel megteremtette </w:t>
      </w:r>
      <w:r w:rsidR="00A16BD7" w:rsidRPr="00A16BD7">
        <w:rPr>
          <w:rFonts w:ascii="Calibri" w:hAnsi="Calibri" w:cs="Calibri"/>
          <w:sz w:val="22"/>
          <w:szCs w:val="22"/>
        </w:rPr>
        <w:t xml:space="preserve">a </w:t>
      </w:r>
      <w:r w:rsidRPr="00A16BD7">
        <w:rPr>
          <w:rFonts w:ascii="Calibri" w:hAnsi="Calibri" w:cs="Calibri"/>
          <w:sz w:val="22"/>
          <w:szCs w:val="22"/>
        </w:rPr>
        <w:t xml:space="preserve">forrását a </w:t>
      </w:r>
      <w:r w:rsidR="00A16BD7" w:rsidRPr="00A16BD7">
        <w:rPr>
          <w:rFonts w:ascii="Calibri" w:hAnsi="Calibri" w:cs="Calibri"/>
          <w:sz w:val="22"/>
          <w:szCs w:val="22"/>
        </w:rPr>
        <w:t xml:space="preserve">korábbi években </w:t>
      </w:r>
      <w:r w:rsidRPr="00A16BD7">
        <w:rPr>
          <w:rFonts w:ascii="Calibri" w:hAnsi="Calibri" w:cs="Calibri"/>
          <w:sz w:val="22"/>
          <w:szCs w:val="22"/>
        </w:rPr>
        <w:t>vállalt kötelezettségek 202</w:t>
      </w:r>
      <w:r w:rsidR="001E5293" w:rsidRPr="00A16BD7">
        <w:rPr>
          <w:rFonts w:ascii="Calibri" w:hAnsi="Calibri" w:cs="Calibri"/>
          <w:sz w:val="22"/>
          <w:szCs w:val="22"/>
        </w:rPr>
        <w:t>4</w:t>
      </w:r>
      <w:r w:rsidRPr="00A16BD7">
        <w:rPr>
          <w:rFonts w:ascii="Calibri" w:hAnsi="Calibri" w:cs="Calibri"/>
          <w:sz w:val="22"/>
          <w:szCs w:val="22"/>
        </w:rPr>
        <w:t>. évi finanszírozására.</w:t>
      </w:r>
      <w:r w:rsidRPr="00AC3C0D">
        <w:rPr>
          <w:rFonts w:ascii="Calibri" w:hAnsi="Calibri" w:cs="Calibri"/>
          <w:sz w:val="22"/>
          <w:szCs w:val="22"/>
        </w:rPr>
        <w:t xml:space="preserve"> </w:t>
      </w:r>
    </w:p>
    <w:p w14:paraId="0DAEE05D" w14:textId="77777777" w:rsidR="00B73E5E" w:rsidRDefault="00B73E5E" w:rsidP="002D6642">
      <w:pPr>
        <w:ind w:left="720"/>
        <w:rPr>
          <w:rFonts w:ascii="Calibri" w:hAnsi="Calibri" w:cs="Calibri"/>
          <w:b/>
          <w:color w:val="FF0000"/>
          <w:sz w:val="22"/>
          <w:szCs w:val="22"/>
        </w:rPr>
      </w:pPr>
    </w:p>
    <w:p w14:paraId="08E20F2E" w14:textId="77777777" w:rsidR="00883CBC" w:rsidRDefault="00883CBC" w:rsidP="002D6642">
      <w:pPr>
        <w:ind w:left="720"/>
        <w:rPr>
          <w:rFonts w:ascii="Calibri" w:hAnsi="Calibri" w:cs="Calibri"/>
          <w:b/>
          <w:color w:val="FF0000"/>
          <w:sz w:val="22"/>
          <w:szCs w:val="22"/>
        </w:rPr>
      </w:pPr>
    </w:p>
    <w:p w14:paraId="636CFE72" w14:textId="77777777" w:rsidR="00883CBC" w:rsidRDefault="00883CBC" w:rsidP="002D6642">
      <w:pPr>
        <w:ind w:left="720"/>
        <w:rPr>
          <w:rFonts w:ascii="Calibri" w:hAnsi="Calibri" w:cs="Calibri"/>
          <w:b/>
          <w:color w:val="FF0000"/>
          <w:sz w:val="22"/>
          <w:szCs w:val="22"/>
        </w:rPr>
      </w:pPr>
    </w:p>
    <w:p w14:paraId="676A5818" w14:textId="77777777" w:rsidR="00883CBC" w:rsidRDefault="00883CBC" w:rsidP="002D6642">
      <w:pPr>
        <w:ind w:left="720"/>
        <w:rPr>
          <w:rFonts w:ascii="Calibri" w:hAnsi="Calibri" w:cs="Calibri"/>
          <w:b/>
          <w:color w:val="FF0000"/>
          <w:sz w:val="22"/>
          <w:szCs w:val="22"/>
        </w:rPr>
      </w:pPr>
    </w:p>
    <w:p w14:paraId="75C27425" w14:textId="77777777" w:rsidR="00883CBC" w:rsidRDefault="00883CBC" w:rsidP="002D6642">
      <w:pPr>
        <w:ind w:left="720"/>
        <w:rPr>
          <w:rFonts w:ascii="Calibri" w:hAnsi="Calibri" w:cs="Calibri"/>
          <w:b/>
          <w:color w:val="FF0000"/>
          <w:sz w:val="22"/>
          <w:szCs w:val="22"/>
        </w:rPr>
      </w:pPr>
    </w:p>
    <w:p w14:paraId="3FEEB111" w14:textId="77777777" w:rsidR="00883CBC" w:rsidRDefault="00883CBC" w:rsidP="002D6642">
      <w:pPr>
        <w:ind w:left="720"/>
        <w:rPr>
          <w:rFonts w:ascii="Calibri" w:hAnsi="Calibri" w:cs="Calibri"/>
          <w:b/>
          <w:color w:val="FF0000"/>
          <w:sz w:val="22"/>
          <w:szCs w:val="22"/>
        </w:rPr>
      </w:pPr>
    </w:p>
    <w:p w14:paraId="430BBC4E" w14:textId="77777777" w:rsidR="00883CBC" w:rsidRPr="00546878" w:rsidRDefault="00883CBC" w:rsidP="002D6642">
      <w:pPr>
        <w:ind w:left="720"/>
        <w:rPr>
          <w:rFonts w:ascii="Calibri" w:hAnsi="Calibri" w:cs="Calibri"/>
          <w:b/>
          <w:color w:val="FF0000"/>
          <w:sz w:val="22"/>
          <w:szCs w:val="22"/>
        </w:rPr>
      </w:pPr>
    </w:p>
    <w:p w14:paraId="3443E217" w14:textId="77777777" w:rsidR="00500B0C" w:rsidRPr="00A9408A" w:rsidRDefault="00AC3C0D" w:rsidP="009710CF">
      <w:pPr>
        <w:ind w:left="360" w:hanging="50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</w:t>
      </w:r>
      <w:r w:rsidR="004C5F7D">
        <w:rPr>
          <w:rFonts w:ascii="Calibri" w:hAnsi="Calibri" w:cs="Calibri"/>
          <w:b/>
          <w:sz w:val="22"/>
          <w:szCs w:val="22"/>
        </w:rPr>
        <w:t>II</w:t>
      </w:r>
      <w:r>
        <w:rPr>
          <w:rFonts w:ascii="Calibri" w:hAnsi="Calibri" w:cs="Calibri"/>
          <w:b/>
          <w:sz w:val="22"/>
          <w:szCs w:val="22"/>
        </w:rPr>
        <w:t>.</w:t>
      </w:r>
      <w:r w:rsidR="00500B0C" w:rsidRPr="00A9408A">
        <w:rPr>
          <w:rFonts w:ascii="Calibri" w:hAnsi="Calibri" w:cs="Calibri"/>
          <w:b/>
          <w:sz w:val="22"/>
          <w:szCs w:val="22"/>
        </w:rPr>
        <w:t>Létszám előirányzat</w:t>
      </w:r>
    </w:p>
    <w:p w14:paraId="2B455975" w14:textId="77777777" w:rsidR="00500B0C" w:rsidRPr="00A9408A" w:rsidRDefault="00500B0C" w:rsidP="00500B0C">
      <w:pPr>
        <w:rPr>
          <w:rFonts w:ascii="Calibri" w:hAnsi="Calibri" w:cs="Calibri"/>
          <w:b/>
          <w:sz w:val="22"/>
          <w:szCs w:val="22"/>
        </w:rPr>
      </w:pPr>
    </w:p>
    <w:p w14:paraId="1E85B3D3" w14:textId="77777777" w:rsidR="00FE5D2B" w:rsidRPr="00086802" w:rsidRDefault="00FE5D2B" w:rsidP="00FE5D2B">
      <w:pPr>
        <w:numPr>
          <w:ilvl w:val="0"/>
          <w:numId w:val="7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086802">
        <w:rPr>
          <w:rFonts w:ascii="Calibri" w:hAnsi="Calibri" w:cs="Calibri"/>
          <w:sz w:val="22"/>
          <w:szCs w:val="22"/>
        </w:rPr>
        <w:t xml:space="preserve">Végrehajtásra került a </w:t>
      </w:r>
      <w:r w:rsidRPr="00FE5D2B">
        <w:rPr>
          <w:rFonts w:ascii="Calibri" w:hAnsi="Calibri" w:cs="Calibri"/>
          <w:sz w:val="22"/>
          <w:szCs w:val="22"/>
        </w:rPr>
        <w:t>276/2023. (IX.28.) Kgy. számú határozat</w:t>
      </w:r>
      <w:r w:rsidRPr="00086802">
        <w:rPr>
          <w:rFonts w:ascii="Calibri" w:hAnsi="Calibri" w:cs="Calibri"/>
          <w:sz w:val="22"/>
          <w:szCs w:val="22"/>
        </w:rPr>
        <w:t>, mely alapján 4 óvodában pedagógiai asszisztens foglalkoztatásához kapcsolódó</w:t>
      </w:r>
      <w:r>
        <w:rPr>
          <w:rFonts w:ascii="Calibri" w:hAnsi="Calibri" w:cs="Calibri"/>
          <w:sz w:val="22"/>
          <w:szCs w:val="22"/>
        </w:rPr>
        <w:t xml:space="preserve"> létszám előirányzat biztosításra került. </w:t>
      </w:r>
      <w:r w:rsidRPr="00086802">
        <w:rPr>
          <w:rFonts w:ascii="Calibri" w:hAnsi="Calibri" w:cs="Calibri"/>
          <w:sz w:val="22"/>
          <w:szCs w:val="22"/>
        </w:rPr>
        <w:t xml:space="preserve"> </w:t>
      </w:r>
    </w:p>
    <w:p w14:paraId="0A5062B9" w14:textId="77777777" w:rsidR="004B0559" w:rsidRDefault="00CA378C" w:rsidP="004D1C09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AD6CCD">
        <w:rPr>
          <w:rFonts w:ascii="Calibri" w:hAnsi="Calibri" w:cs="Calibri"/>
          <w:sz w:val="22"/>
          <w:szCs w:val="22"/>
        </w:rPr>
        <w:t>Végrehajtásra került a</w:t>
      </w:r>
      <w:r w:rsidR="004B0559" w:rsidRPr="00AD6CCD">
        <w:rPr>
          <w:rFonts w:ascii="Calibri" w:hAnsi="Calibri" w:cs="Calibri"/>
          <w:sz w:val="22"/>
          <w:szCs w:val="22"/>
        </w:rPr>
        <w:t xml:space="preserve"> </w:t>
      </w:r>
      <w:r w:rsidR="00AD6CCD" w:rsidRPr="00AD6CCD">
        <w:rPr>
          <w:rFonts w:ascii="Calibri" w:hAnsi="Calibri"/>
          <w:sz w:val="22"/>
          <w:szCs w:val="22"/>
        </w:rPr>
        <w:t>345/2023. (X.26.) kgy.hat</w:t>
      </w:r>
      <w:r w:rsidR="00AD6CCD" w:rsidRPr="00AD6CCD">
        <w:rPr>
          <w:rFonts w:ascii="Calibri" w:hAnsi="Calibri" w:cs="Calibri"/>
          <w:sz w:val="22"/>
          <w:szCs w:val="22"/>
        </w:rPr>
        <w:t xml:space="preserve"> h</w:t>
      </w:r>
      <w:r w:rsidR="005C1FAD" w:rsidRPr="00AD6CCD">
        <w:rPr>
          <w:rFonts w:ascii="Calibri" w:hAnsi="Calibri" w:cs="Calibri"/>
          <w:sz w:val="22"/>
          <w:szCs w:val="22"/>
        </w:rPr>
        <w:t>atározat, mely</w:t>
      </w:r>
      <w:r w:rsidR="00AD6CCD">
        <w:rPr>
          <w:rFonts w:ascii="Calibri" w:hAnsi="Calibri" w:cs="Calibri"/>
          <w:sz w:val="22"/>
          <w:szCs w:val="22"/>
        </w:rPr>
        <w:t xml:space="preserve"> 2023. évre vonatkozóan az alábbiakról</w:t>
      </w:r>
      <w:r w:rsidR="00A9408A" w:rsidRPr="00AD6CCD">
        <w:rPr>
          <w:rFonts w:ascii="Calibri" w:hAnsi="Calibri" w:cs="Calibri"/>
          <w:sz w:val="22"/>
          <w:szCs w:val="22"/>
        </w:rPr>
        <w:t xml:space="preserve"> döntött</w:t>
      </w:r>
      <w:r w:rsidR="00AD6CCD">
        <w:rPr>
          <w:rFonts w:ascii="Calibri" w:hAnsi="Calibri" w:cs="Calibri"/>
          <w:sz w:val="22"/>
          <w:szCs w:val="22"/>
        </w:rPr>
        <w:t>:</w:t>
      </w:r>
      <w:r w:rsidR="005C1FAD" w:rsidRPr="00AD6CCD">
        <w:rPr>
          <w:rFonts w:ascii="Calibri" w:hAnsi="Calibri" w:cs="Calibri"/>
          <w:sz w:val="22"/>
          <w:szCs w:val="22"/>
        </w:rPr>
        <w:t xml:space="preserve"> a </w:t>
      </w:r>
      <w:r w:rsidR="00AD6CCD">
        <w:rPr>
          <w:rFonts w:ascii="Calibri" w:hAnsi="Calibri" w:cs="Calibri"/>
          <w:sz w:val="22"/>
          <w:szCs w:val="22"/>
        </w:rPr>
        <w:t xml:space="preserve">Mesebolt Bábszínház szakmai létszáma 2023. november 1. napjától 1,5 főről 1,75 főre módosul. </w:t>
      </w:r>
    </w:p>
    <w:p w14:paraId="48E8081B" w14:textId="77777777" w:rsidR="00A000DF" w:rsidRPr="00AD6CCD" w:rsidRDefault="00A000DF" w:rsidP="004D1C09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Szombathely Megyei Jogú Város Közgyűlése a 374/2023. (XI.30.) Kgy. számú határozatával döntött az alapellátáshoz kapcsolódó háziorvosi és házi gyermekorvosi </w:t>
      </w:r>
      <w:r w:rsidR="00A2164F">
        <w:rPr>
          <w:rFonts w:ascii="Calibri" w:hAnsi="Calibri" w:cs="Calibri"/>
          <w:sz w:val="22"/>
          <w:szCs w:val="22"/>
        </w:rPr>
        <w:t xml:space="preserve">ügyeleti feladatok Országos Mentőszolgálat részére történő átadásáról. A feladat 2023. december 1. napjával történő elkerülése miatt szakmai és technikai létszám csökkentése indokolt. Így az </w:t>
      </w:r>
      <w:r w:rsidR="00024971">
        <w:rPr>
          <w:rFonts w:ascii="Calibri" w:hAnsi="Calibri" w:cs="Calibri"/>
          <w:sz w:val="22"/>
          <w:szCs w:val="22"/>
        </w:rPr>
        <w:t xml:space="preserve">Egészségügyi és Kulturális </w:t>
      </w:r>
      <w:r w:rsidR="00F937FA">
        <w:rPr>
          <w:rFonts w:ascii="Calibri" w:hAnsi="Calibri" w:cs="Calibri"/>
          <w:sz w:val="22"/>
          <w:szCs w:val="22"/>
        </w:rPr>
        <w:t xml:space="preserve">Intézmények </w:t>
      </w:r>
      <w:r w:rsidR="00024971">
        <w:rPr>
          <w:rFonts w:ascii="Calibri" w:hAnsi="Calibri" w:cs="Calibri"/>
          <w:sz w:val="22"/>
          <w:szCs w:val="22"/>
        </w:rPr>
        <w:t>GESZ</w:t>
      </w:r>
      <w:r w:rsidR="00A2164F">
        <w:rPr>
          <w:rFonts w:ascii="Calibri" w:hAnsi="Calibri" w:cs="Calibri"/>
          <w:sz w:val="22"/>
          <w:szCs w:val="22"/>
        </w:rPr>
        <w:t xml:space="preserve"> jóváhagyott 86 fő létszáma csökken 75 főre, ebből a szakmai</w:t>
      </w:r>
      <w:r w:rsidR="00024971">
        <w:rPr>
          <w:rFonts w:ascii="Calibri" w:hAnsi="Calibri" w:cs="Calibri"/>
          <w:sz w:val="22"/>
          <w:szCs w:val="22"/>
        </w:rPr>
        <w:t xml:space="preserve"> </w:t>
      </w:r>
      <w:r w:rsidR="00A2164F">
        <w:rPr>
          <w:rFonts w:ascii="Calibri" w:hAnsi="Calibri" w:cs="Calibri"/>
          <w:sz w:val="22"/>
          <w:szCs w:val="22"/>
        </w:rPr>
        <w:t xml:space="preserve">létszám 53 főről 45 főre, a technikai létszám pedig 33 főről 30 főre. </w:t>
      </w:r>
    </w:p>
    <w:p w14:paraId="088BD6CB" w14:textId="77777777" w:rsidR="004B0559" w:rsidRDefault="004B0559" w:rsidP="00374E5E">
      <w:pPr>
        <w:jc w:val="both"/>
        <w:rPr>
          <w:rFonts w:ascii="Calibri" w:hAnsi="Calibri" w:cs="Calibri"/>
          <w:sz w:val="22"/>
          <w:szCs w:val="22"/>
        </w:rPr>
      </w:pPr>
    </w:p>
    <w:p w14:paraId="77BBDB32" w14:textId="77777777" w:rsidR="00AD6CCD" w:rsidRDefault="00AD6CCD" w:rsidP="00374E5E">
      <w:pPr>
        <w:jc w:val="both"/>
        <w:rPr>
          <w:rFonts w:ascii="Calibri" w:hAnsi="Calibri" w:cs="Calibri"/>
          <w:sz w:val="22"/>
          <w:szCs w:val="22"/>
        </w:rPr>
      </w:pPr>
    </w:p>
    <w:p w14:paraId="7CD508DE" w14:textId="77777777" w:rsidR="00AD6CCD" w:rsidRDefault="00AD6CCD" w:rsidP="00374E5E">
      <w:pPr>
        <w:jc w:val="both"/>
        <w:rPr>
          <w:rFonts w:ascii="Calibri" w:hAnsi="Calibri" w:cs="Calibri"/>
          <w:sz w:val="22"/>
          <w:szCs w:val="22"/>
        </w:rPr>
      </w:pPr>
    </w:p>
    <w:sectPr w:rsidR="00AD6CCD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C76F" w14:textId="77777777" w:rsidR="00FD7D27" w:rsidRDefault="00FD7D27">
      <w:r>
        <w:separator/>
      </w:r>
    </w:p>
  </w:endnote>
  <w:endnote w:type="continuationSeparator" w:id="0">
    <w:p w14:paraId="4B5C0DC0" w14:textId="77777777" w:rsidR="00FD7D27" w:rsidRDefault="00FD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9423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6B79E817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8030" w14:textId="77777777" w:rsidR="00FD7D27" w:rsidRDefault="00FD7D27">
      <w:r>
        <w:separator/>
      </w:r>
    </w:p>
  </w:footnote>
  <w:footnote w:type="continuationSeparator" w:id="0">
    <w:p w14:paraId="51454A65" w14:textId="77777777" w:rsidR="00FD7D27" w:rsidRDefault="00FD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D64B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EAF262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6CB48CA"/>
    <w:multiLevelType w:val="hybridMultilevel"/>
    <w:tmpl w:val="6BBEF1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F6807"/>
    <w:multiLevelType w:val="hybridMultilevel"/>
    <w:tmpl w:val="51B62802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1C75FD"/>
    <w:multiLevelType w:val="hybridMultilevel"/>
    <w:tmpl w:val="9C502E36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9A530D"/>
    <w:multiLevelType w:val="hybridMultilevel"/>
    <w:tmpl w:val="CB46C986"/>
    <w:lvl w:ilvl="0" w:tplc="53CE6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C3491"/>
    <w:multiLevelType w:val="hybridMultilevel"/>
    <w:tmpl w:val="A5A64B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44907"/>
    <w:multiLevelType w:val="hybridMultilevel"/>
    <w:tmpl w:val="986607DE"/>
    <w:lvl w:ilvl="0" w:tplc="040E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11A062DF"/>
    <w:multiLevelType w:val="hybridMultilevel"/>
    <w:tmpl w:val="A07EB3B4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EE0769"/>
    <w:multiLevelType w:val="hybridMultilevel"/>
    <w:tmpl w:val="E5301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D2A58"/>
    <w:multiLevelType w:val="hybridMultilevel"/>
    <w:tmpl w:val="75689CE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C42D0"/>
    <w:multiLevelType w:val="hybridMultilevel"/>
    <w:tmpl w:val="704230F0"/>
    <w:lvl w:ilvl="0" w:tplc="E564F33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267F80"/>
    <w:multiLevelType w:val="hybridMultilevel"/>
    <w:tmpl w:val="A39C157E"/>
    <w:lvl w:ilvl="0" w:tplc="CDB885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6A41"/>
    <w:multiLevelType w:val="hybridMultilevel"/>
    <w:tmpl w:val="1B084C72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FE5769"/>
    <w:multiLevelType w:val="hybridMultilevel"/>
    <w:tmpl w:val="1E7A7C50"/>
    <w:lvl w:ilvl="0" w:tplc="040E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A4722E2"/>
    <w:multiLevelType w:val="hybridMultilevel"/>
    <w:tmpl w:val="C74AEA14"/>
    <w:lvl w:ilvl="0" w:tplc="065689A2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B5A25"/>
    <w:multiLevelType w:val="hybridMultilevel"/>
    <w:tmpl w:val="F50EB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67AD5"/>
    <w:multiLevelType w:val="hybridMultilevel"/>
    <w:tmpl w:val="108E59FC"/>
    <w:lvl w:ilvl="0" w:tplc="065689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2429C"/>
    <w:multiLevelType w:val="hybridMultilevel"/>
    <w:tmpl w:val="4754C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50AF"/>
    <w:multiLevelType w:val="hybridMultilevel"/>
    <w:tmpl w:val="3CB8DFAC"/>
    <w:lvl w:ilvl="0" w:tplc="040E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3114A"/>
    <w:multiLevelType w:val="hybridMultilevel"/>
    <w:tmpl w:val="20466C4E"/>
    <w:lvl w:ilvl="0" w:tplc="4EF6B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70471"/>
    <w:multiLevelType w:val="hybridMultilevel"/>
    <w:tmpl w:val="49CA1FBA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F4527"/>
    <w:multiLevelType w:val="hybridMultilevel"/>
    <w:tmpl w:val="4C7C8FB0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4003256"/>
    <w:multiLevelType w:val="hybridMultilevel"/>
    <w:tmpl w:val="5778F5EA"/>
    <w:lvl w:ilvl="0" w:tplc="B4B06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E637A"/>
    <w:multiLevelType w:val="hybridMultilevel"/>
    <w:tmpl w:val="626AF37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6677B"/>
    <w:multiLevelType w:val="hybridMultilevel"/>
    <w:tmpl w:val="6B6C7D14"/>
    <w:lvl w:ilvl="0" w:tplc="21FAB478">
      <w:start w:val="1"/>
      <w:numFmt w:val="upperLetter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B2881"/>
    <w:multiLevelType w:val="hybridMultilevel"/>
    <w:tmpl w:val="301E70DC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8D4FFF"/>
    <w:multiLevelType w:val="hybridMultilevel"/>
    <w:tmpl w:val="46440746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07127">
    <w:abstractNumId w:val="25"/>
  </w:num>
  <w:num w:numId="2" w16cid:durableId="1609583915">
    <w:abstractNumId w:val="28"/>
  </w:num>
  <w:num w:numId="3" w16cid:durableId="581909827">
    <w:abstractNumId w:val="11"/>
  </w:num>
  <w:num w:numId="4" w16cid:durableId="1950352763">
    <w:abstractNumId w:val="22"/>
  </w:num>
  <w:num w:numId="5" w16cid:durableId="2097246800">
    <w:abstractNumId w:val="20"/>
  </w:num>
  <w:num w:numId="6" w16cid:durableId="1143040812">
    <w:abstractNumId w:val="23"/>
  </w:num>
  <w:num w:numId="7" w16cid:durableId="1201359669">
    <w:abstractNumId w:val="8"/>
  </w:num>
  <w:num w:numId="8" w16cid:durableId="88237469">
    <w:abstractNumId w:val="15"/>
  </w:num>
  <w:num w:numId="9" w16cid:durableId="147550846">
    <w:abstractNumId w:val="0"/>
  </w:num>
  <w:num w:numId="10" w16cid:durableId="293216205">
    <w:abstractNumId w:val="27"/>
  </w:num>
  <w:num w:numId="11" w16cid:durableId="957881740">
    <w:abstractNumId w:val="4"/>
  </w:num>
  <w:num w:numId="12" w16cid:durableId="1036467883">
    <w:abstractNumId w:val="30"/>
  </w:num>
  <w:num w:numId="13" w16cid:durableId="1967659210">
    <w:abstractNumId w:val="21"/>
  </w:num>
  <w:num w:numId="14" w16cid:durableId="850487507">
    <w:abstractNumId w:val="3"/>
  </w:num>
  <w:num w:numId="15" w16cid:durableId="605385628">
    <w:abstractNumId w:val="2"/>
  </w:num>
  <w:num w:numId="16" w16cid:durableId="1915118554">
    <w:abstractNumId w:val="12"/>
  </w:num>
  <w:num w:numId="17" w16cid:durableId="2011827401">
    <w:abstractNumId w:val="13"/>
  </w:num>
  <w:num w:numId="18" w16cid:durableId="654575684">
    <w:abstractNumId w:val="26"/>
  </w:num>
  <w:num w:numId="19" w16cid:durableId="1132939907">
    <w:abstractNumId w:val="7"/>
  </w:num>
  <w:num w:numId="20" w16cid:durableId="1460145804">
    <w:abstractNumId w:val="6"/>
  </w:num>
  <w:num w:numId="21" w16cid:durableId="1350135097">
    <w:abstractNumId w:val="17"/>
  </w:num>
  <w:num w:numId="22" w16cid:durableId="1759015885">
    <w:abstractNumId w:val="31"/>
  </w:num>
  <w:num w:numId="23" w16cid:durableId="1395666690">
    <w:abstractNumId w:val="9"/>
  </w:num>
  <w:num w:numId="24" w16cid:durableId="409541192">
    <w:abstractNumId w:val="1"/>
  </w:num>
  <w:num w:numId="25" w16cid:durableId="1680964787">
    <w:abstractNumId w:val="29"/>
  </w:num>
  <w:num w:numId="26" w16cid:durableId="773747576">
    <w:abstractNumId w:val="16"/>
  </w:num>
  <w:num w:numId="27" w16cid:durableId="344329566">
    <w:abstractNumId w:val="18"/>
  </w:num>
  <w:num w:numId="28" w16cid:durableId="5446383">
    <w:abstractNumId w:val="5"/>
  </w:num>
  <w:num w:numId="29" w16cid:durableId="66269712">
    <w:abstractNumId w:val="14"/>
  </w:num>
  <w:num w:numId="30" w16cid:durableId="1549143730">
    <w:abstractNumId w:val="19"/>
  </w:num>
  <w:num w:numId="31" w16cid:durableId="2131701718">
    <w:abstractNumId w:val="24"/>
  </w:num>
  <w:num w:numId="32" w16cid:durableId="147386257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D"/>
    <w:rsid w:val="000006C6"/>
    <w:rsid w:val="00000B77"/>
    <w:rsid w:val="00000DEF"/>
    <w:rsid w:val="00001804"/>
    <w:rsid w:val="00001831"/>
    <w:rsid w:val="000021CD"/>
    <w:rsid w:val="0000296A"/>
    <w:rsid w:val="000042E9"/>
    <w:rsid w:val="00005FB8"/>
    <w:rsid w:val="000106AB"/>
    <w:rsid w:val="000120C1"/>
    <w:rsid w:val="00012952"/>
    <w:rsid w:val="00012B7D"/>
    <w:rsid w:val="00012C1C"/>
    <w:rsid w:val="00012F6B"/>
    <w:rsid w:val="000136DB"/>
    <w:rsid w:val="00017533"/>
    <w:rsid w:val="00020713"/>
    <w:rsid w:val="000214A5"/>
    <w:rsid w:val="000217AA"/>
    <w:rsid w:val="00021D99"/>
    <w:rsid w:val="00021F4A"/>
    <w:rsid w:val="00023130"/>
    <w:rsid w:val="00023BA7"/>
    <w:rsid w:val="000243E3"/>
    <w:rsid w:val="00024971"/>
    <w:rsid w:val="00024A6E"/>
    <w:rsid w:val="00026F2E"/>
    <w:rsid w:val="0003036E"/>
    <w:rsid w:val="00030838"/>
    <w:rsid w:val="00030A2A"/>
    <w:rsid w:val="0003167D"/>
    <w:rsid w:val="000326DE"/>
    <w:rsid w:val="000334B8"/>
    <w:rsid w:val="000348E6"/>
    <w:rsid w:val="00034DA9"/>
    <w:rsid w:val="000358D5"/>
    <w:rsid w:val="0003671F"/>
    <w:rsid w:val="000367C6"/>
    <w:rsid w:val="0003725D"/>
    <w:rsid w:val="000411CF"/>
    <w:rsid w:val="000418B7"/>
    <w:rsid w:val="000422E8"/>
    <w:rsid w:val="000423E2"/>
    <w:rsid w:val="0004270E"/>
    <w:rsid w:val="000437DF"/>
    <w:rsid w:val="000442EA"/>
    <w:rsid w:val="00044376"/>
    <w:rsid w:val="00045096"/>
    <w:rsid w:val="00045664"/>
    <w:rsid w:val="000459DF"/>
    <w:rsid w:val="00046628"/>
    <w:rsid w:val="00046AC1"/>
    <w:rsid w:val="00046FB9"/>
    <w:rsid w:val="00050944"/>
    <w:rsid w:val="00051199"/>
    <w:rsid w:val="0005220E"/>
    <w:rsid w:val="000534E9"/>
    <w:rsid w:val="00053825"/>
    <w:rsid w:val="000542EF"/>
    <w:rsid w:val="00054694"/>
    <w:rsid w:val="0005645C"/>
    <w:rsid w:val="00056530"/>
    <w:rsid w:val="00057C30"/>
    <w:rsid w:val="00061B49"/>
    <w:rsid w:val="00062904"/>
    <w:rsid w:val="00062B59"/>
    <w:rsid w:val="00063435"/>
    <w:rsid w:val="000638B7"/>
    <w:rsid w:val="00065EEC"/>
    <w:rsid w:val="0006609B"/>
    <w:rsid w:val="00066A34"/>
    <w:rsid w:val="000709BE"/>
    <w:rsid w:val="00071E1E"/>
    <w:rsid w:val="00074C9C"/>
    <w:rsid w:val="00075584"/>
    <w:rsid w:val="00075B33"/>
    <w:rsid w:val="00075FEE"/>
    <w:rsid w:val="000767C3"/>
    <w:rsid w:val="00081466"/>
    <w:rsid w:val="0008273B"/>
    <w:rsid w:val="000836AE"/>
    <w:rsid w:val="00084B07"/>
    <w:rsid w:val="00085F06"/>
    <w:rsid w:val="00086802"/>
    <w:rsid w:val="00086D6E"/>
    <w:rsid w:val="000876B2"/>
    <w:rsid w:val="00090289"/>
    <w:rsid w:val="00091ABA"/>
    <w:rsid w:val="00092225"/>
    <w:rsid w:val="0009295E"/>
    <w:rsid w:val="000940EA"/>
    <w:rsid w:val="00094C59"/>
    <w:rsid w:val="000951DF"/>
    <w:rsid w:val="00095B4F"/>
    <w:rsid w:val="00095DB7"/>
    <w:rsid w:val="000962CF"/>
    <w:rsid w:val="00096998"/>
    <w:rsid w:val="00096AC0"/>
    <w:rsid w:val="00096D27"/>
    <w:rsid w:val="00097767"/>
    <w:rsid w:val="00097B84"/>
    <w:rsid w:val="000A0C8A"/>
    <w:rsid w:val="000A290B"/>
    <w:rsid w:val="000A2BBF"/>
    <w:rsid w:val="000A362E"/>
    <w:rsid w:val="000A37BA"/>
    <w:rsid w:val="000A4222"/>
    <w:rsid w:val="000A464D"/>
    <w:rsid w:val="000A4E5C"/>
    <w:rsid w:val="000A5D39"/>
    <w:rsid w:val="000A66B9"/>
    <w:rsid w:val="000A7155"/>
    <w:rsid w:val="000A730E"/>
    <w:rsid w:val="000B12E9"/>
    <w:rsid w:val="000B2543"/>
    <w:rsid w:val="000B26A7"/>
    <w:rsid w:val="000B2DDC"/>
    <w:rsid w:val="000B2E1E"/>
    <w:rsid w:val="000B3479"/>
    <w:rsid w:val="000B3628"/>
    <w:rsid w:val="000B3F45"/>
    <w:rsid w:val="000B5E4C"/>
    <w:rsid w:val="000C0010"/>
    <w:rsid w:val="000C0501"/>
    <w:rsid w:val="000C0597"/>
    <w:rsid w:val="000C16F1"/>
    <w:rsid w:val="000C19D4"/>
    <w:rsid w:val="000C294F"/>
    <w:rsid w:val="000C430D"/>
    <w:rsid w:val="000C4705"/>
    <w:rsid w:val="000C6E9E"/>
    <w:rsid w:val="000C7E03"/>
    <w:rsid w:val="000D0D42"/>
    <w:rsid w:val="000D178B"/>
    <w:rsid w:val="000D1C90"/>
    <w:rsid w:val="000D2364"/>
    <w:rsid w:val="000D2585"/>
    <w:rsid w:val="000D3842"/>
    <w:rsid w:val="000D3ACC"/>
    <w:rsid w:val="000D44A4"/>
    <w:rsid w:val="000D56AB"/>
    <w:rsid w:val="000D5C35"/>
    <w:rsid w:val="000D6908"/>
    <w:rsid w:val="000D6D20"/>
    <w:rsid w:val="000D746A"/>
    <w:rsid w:val="000D74EC"/>
    <w:rsid w:val="000E19CA"/>
    <w:rsid w:val="000E6478"/>
    <w:rsid w:val="000E6DBC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E3D"/>
    <w:rsid w:val="0010002A"/>
    <w:rsid w:val="001016C9"/>
    <w:rsid w:val="00102C78"/>
    <w:rsid w:val="00107C5D"/>
    <w:rsid w:val="00110235"/>
    <w:rsid w:val="001124D2"/>
    <w:rsid w:val="00112C87"/>
    <w:rsid w:val="0011398C"/>
    <w:rsid w:val="0011509E"/>
    <w:rsid w:val="00116226"/>
    <w:rsid w:val="00117DA5"/>
    <w:rsid w:val="00117E6B"/>
    <w:rsid w:val="0012062C"/>
    <w:rsid w:val="001208A8"/>
    <w:rsid w:val="001222F2"/>
    <w:rsid w:val="00122914"/>
    <w:rsid w:val="001236B3"/>
    <w:rsid w:val="001236F9"/>
    <w:rsid w:val="00124D83"/>
    <w:rsid w:val="001271DC"/>
    <w:rsid w:val="001274CB"/>
    <w:rsid w:val="001302D4"/>
    <w:rsid w:val="0013036C"/>
    <w:rsid w:val="00130E11"/>
    <w:rsid w:val="001318A2"/>
    <w:rsid w:val="00133AF9"/>
    <w:rsid w:val="00133DEC"/>
    <w:rsid w:val="00133F35"/>
    <w:rsid w:val="00134287"/>
    <w:rsid w:val="00134403"/>
    <w:rsid w:val="00135A87"/>
    <w:rsid w:val="00135DD1"/>
    <w:rsid w:val="00136209"/>
    <w:rsid w:val="00142378"/>
    <w:rsid w:val="00142CE7"/>
    <w:rsid w:val="001437FF"/>
    <w:rsid w:val="00143E29"/>
    <w:rsid w:val="0014403E"/>
    <w:rsid w:val="00144257"/>
    <w:rsid w:val="00144FE6"/>
    <w:rsid w:val="001454A6"/>
    <w:rsid w:val="0014561B"/>
    <w:rsid w:val="00145C1B"/>
    <w:rsid w:val="0014600C"/>
    <w:rsid w:val="001467D0"/>
    <w:rsid w:val="00146D33"/>
    <w:rsid w:val="00147089"/>
    <w:rsid w:val="00147AD9"/>
    <w:rsid w:val="00147C70"/>
    <w:rsid w:val="001509F0"/>
    <w:rsid w:val="0015111E"/>
    <w:rsid w:val="0015178F"/>
    <w:rsid w:val="00151E1D"/>
    <w:rsid w:val="001524FA"/>
    <w:rsid w:val="00154DBB"/>
    <w:rsid w:val="00157EBA"/>
    <w:rsid w:val="001609A0"/>
    <w:rsid w:val="00161EA5"/>
    <w:rsid w:val="0016317E"/>
    <w:rsid w:val="00165439"/>
    <w:rsid w:val="00165AB1"/>
    <w:rsid w:val="00167151"/>
    <w:rsid w:val="00167949"/>
    <w:rsid w:val="00167FF2"/>
    <w:rsid w:val="00170FAF"/>
    <w:rsid w:val="001714F6"/>
    <w:rsid w:val="0017242E"/>
    <w:rsid w:val="0017272E"/>
    <w:rsid w:val="00173F0B"/>
    <w:rsid w:val="0017476C"/>
    <w:rsid w:val="00175586"/>
    <w:rsid w:val="00175FE5"/>
    <w:rsid w:val="00176140"/>
    <w:rsid w:val="00182138"/>
    <w:rsid w:val="00182240"/>
    <w:rsid w:val="00182796"/>
    <w:rsid w:val="001827B7"/>
    <w:rsid w:val="00182962"/>
    <w:rsid w:val="00183FB1"/>
    <w:rsid w:val="00187ACE"/>
    <w:rsid w:val="00187B80"/>
    <w:rsid w:val="00190C08"/>
    <w:rsid w:val="00190F75"/>
    <w:rsid w:val="001914A0"/>
    <w:rsid w:val="0019292E"/>
    <w:rsid w:val="00192EB5"/>
    <w:rsid w:val="001933AF"/>
    <w:rsid w:val="00195982"/>
    <w:rsid w:val="00195E08"/>
    <w:rsid w:val="00195E31"/>
    <w:rsid w:val="00195FBC"/>
    <w:rsid w:val="00196463"/>
    <w:rsid w:val="0019775C"/>
    <w:rsid w:val="001978F8"/>
    <w:rsid w:val="00197E4C"/>
    <w:rsid w:val="001A0D55"/>
    <w:rsid w:val="001A17BD"/>
    <w:rsid w:val="001A1991"/>
    <w:rsid w:val="001A1C8E"/>
    <w:rsid w:val="001A2DFC"/>
    <w:rsid w:val="001A39C9"/>
    <w:rsid w:val="001A474C"/>
    <w:rsid w:val="001A5886"/>
    <w:rsid w:val="001A5A46"/>
    <w:rsid w:val="001A5BE8"/>
    <w:rsid w:val="001A6A7E"/>
    <w:rsid w:val="001A7968"/>
    <w:rsid w:val="001B0595"/>
    <w:rsid w:val="001B102F"/>
    <w:rsid w:val="001B11CB"/>
    <w:rsid w:val="001B3DE2"/>
    <w:rsid w:val="001B6340"/>
    <w:rsid w:val="001B6BA0"/>
    <w:rsid w:val="001B7598"/>
    <w:rsid w:val="001C0441"/>
    <w:rsid w:val="001C262B"/>
    <w:rsid w:val="001C2A3A"/>
    <w:rsid w:val="001C2C97"/>
    <w:rsid w:val="001C4268"/>
    <w:rsid w:val="001C4E1A"/>
    <w:rsid w:val="001C54F2"/>
    <w:rsid w:val="001C5685"/>
    <w:rsid w:val="001C6C28"/>
    <w:rsid w:val="001D082E"/>
    <w:rsid w:val="001D1257"/>
    <w:rsid w:val="001D1450"/>
    <w:rsid w:val="001D21B8"/>
    <w:rsid w:val="001D4ED2"/>
    <w:rsid w:val="001D620B"/>
    <w:rsid w:val="001D69D9"/>
    <w:rsid w:val="001D6AF1"/>
    <w:rsid w:val="001E1059"/>
    <w:rsid w:val="001E3C4B"/>
    <w:rsid w:val="001E484B"/>
    <w:rsid w:val="001E4D0D"/>
    <w:rsid w:val="001E4FBF"/>
    <w:rsid w:val="001E5293"/>
    <w:rsid w:val="001E63DB"/>
    <w:rsid w:val="001E657C"/>
    <w:rsid w:val="001E6858"/>
    <w:rsid w:val="001F2386"/>
    <w:rsid w:val="001F3E40"/>
    <w:rsid w:val="001F4B5E"/>
    <w:rsid w:val="001F5100"/>
    <w:rsid w:val="001F530E"/>
    <w:rsid w:val="001F5B45"/>
    <w:rsid w:val="001F6B3C"/>
    <w:rsid w:val="001F73B5"/>
    <w:rsid w:val="002008F3"/>
    <w:rsid w:val="00200A19"/>
    <w:rsid w:val="00200B7F"/>
    <w:rsid w:val="0020287B"/>
    <w:rsid w:val="00202BB6"/>
    <w:rsid w:val="00203695"/>
    <w:rsid w:val="00203ECD"/>
    <w:rsid w:val="00204183"/>
    <w:rsid w:val="00204621"/>
    <w:rsid w:val="002051B6"/>
    <w:rsid w:val="00205FAC"/>
    <w:rsid w:val="00206140"/>
    <w:rsid w:val="00210408"/>
    <w:rsid w:val="00210658"/>
    <w:rsid w:val="00214BD2"/>
    <w:rsid w:val="00215849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5AD2"/>
    <w:rsid w:val="00227FCB"/>
    <w:rsid w:val="00230AD3"/>
    <w:rsid w:val="00231412"/>
    <w:rsid w:val="002314B9"/>
    <w:rsid w:val="002322D6"/>
    <w:rsid w:val="00232F3E"/>
    <w:rsid w:val="002346BB"/>
    <w:rsid w:val="00236B31"/>
    <w:rsid w:val="002376F6"/>
    <w:rsid w:val="00237F02"/>
    <w:rsid w:val="00241880"/>
    <w:rsid w:val="002418ED"/>
    <w:rsid w:val="0024201A"/>
    <w:rsid w:val="0024336E"/>
    <w:rsid w:val="00243AC4"/>
    <w:rsid w:val="002442E2"/>
    <w:rsid w:val="00244F65"/>
    <w:rsid w:val="00246589"/>
    <w:rsid w:val="002478A5"/>
    <w:rsid w:val="00251A0C"/>
    <w:rsid w:val="002531E3"/>
    <w:rsid w:val="00253269"/>
    <w:rsid w:val="0025411C"/>
    <w:rsid w:val="00255E85"/>
    <w:rsid w:val="00256144"/>
    <w:rsid w:val="00257B08"/>
    <w:rsid w:val="00257CCF"/>
    <w:rsid w:val="00261015"/>
    <w:rsid w:val="00261427"/>
    <w:rsid w:val="00262A4A"/>
    <w:rsid w:val="0026339F"/>
    <w:rsid w:val="0026373F"/>
    <w:rsid w:val="00264E6E"/>
    <w:rsid w:val="0027016C"/>
    <w:rsid w:val="002709F5"/>
    <w:rsid w:val="00272F93"/>
    <w:rsid w:val="00274955"/>
    <w:rsid w:val="00274D7A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D79"/>
    <w:rsid w:val="00291EB9"/>
    <w:rsid w:val="00293327"/>
    <w:rsid w:val="00294E9E"/>
    <w:rsid w:val="00295143"/>
    <w:rsid w:val="00295462"/>
    <w:rsid w:val="0029626F"/>
    <w:rsid w:val="0029723A"/>
    <w:rsid w:val="00297C92"/>
    <w:rsid w:val="00297D4A"/>
    <w:rsid w:val="00297D9B"/>
    <w:rsid w:val="002A28A3"/>
    <w:rsid w:val="002A346F"/>
    <w:rsid w:val="002A3CA7"/>
    <w:rsid w:val="002A4AF9"/>
    <w:rsid w:val="002A5146"/>
    <w:rsid w:val="002A54FC"/>
    <w:rsid w:val="002A5A4A"/>
    <w:rsid w:val="002A5E0B"/>
    <w:rsid w:val="002A6CB0"/>
    <w:rsid w:val="002A70C7"/>
    <w:rsid w:val="002A750D"/>
    <w:rsid w:val="002B08F5"/>
    <w:rsid w:val="002B1831"/>
    <w:rsid w:val="002B34D5"/>
    <w:rsid w:val="002B3768"/>
    <w:rsid w:val="002B4977"/>
    <w:rsid w:val="002B4CC8"/>
    <w:rsid w:val="002B6B83"/>
    <w:rsid w:val="002B753A"/>
    <w:rsid w:val="002B7D3C"/>
    <w:rsid w:val="002C07AB"/>
    <w:rsid w:val="002C09BF"/>
    <w:rsid w:val="002C24FE"/>
    <w:rsid w:val="002C2684"/>
    <w:rsid w:val="002C46B8"/>
    <w:rsid w:val="002C4A69"/>
    <w:rsid w:val="002C594F"/>
    <w:rsid w:val="002C6532"/>
    <w:rsid w:val="002C6C9E"/>
    <w:rsid w:val="002C70E3"/>
    <w:rsid w:val="002C7B78"/>
    <w:rsid w:val="002D1470"/>
    <w:rsid w:val="002D44FF"/>
    <w:rsid w:val="002D627A"/>
    <w:rsid w:val="002D6642"/>
    <w:rsid w:val="002D67E2"/>
    <w:rsid w:val="002D758A"/>
    <w:rsid w:val="002E18AA"/>
    <w:rsid w:val="002E1A75"/>
    <w:rsid w:val="002E1C5F"/>
    <w:rsid w:val="002E2459"/>
    <w:rsid w:val="002E2CED"/>
    <w:rsid w:val="002E2FD5"/>
    <w:rsid w:val="002E438E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B"/>
    <w:rsid w:val="002F391E"/>
    <w:rsid w:val="002F3BBF"/>
    <w:rsid w:val="002F3BF0"/>
    <w:rsid w:val="002F400F"/>
    <w:rsid w:val="002F6726"/>
    <w:rsid w:val="002F74E8"/>
    <w:rsid w:val="002F7878"/>
    <w:rsid w:val="00300B8B"/>
    <w:rsid w:val="00300E34"/>
    <w:rsid w:val="00301251"/>
    <w:rsid w:val="00302C2E"/>
    <w:rsid w:val="00303A4C"/>
    <w:rsid w:val="003050F3"/>
    <w:rsid w:val="0030534A"/>
    <w:rsid w:val="00306622"/>
    <w:rsid w:val="003108E3"/>
    <w:rsid w:val="00312D47"/>
    <w:rsid w:val="003130A1"/>
    <w:rsid w:val="003146B7"/>
    <w:rsid w:val="0031480F"/>
    <w:rsid w:val="003154A0"/>
    <w:rsid w:val="0031590D"/>
    <w:rsid w:val="003200D7"/>
    <w:rsid w:val="003208F4"/>
    <w:rsid w:val="00320C9A"/>
    <w:rsid w:val="00321467"/>
    <w:rsid w:val="00321484"/>
    <w:rsid w:val="00322AD9"/>
    <w:rsid w:val="00323290"/>
    <w:rsid w:val="00323A93"/>
    <w:rsid w:val="00323BB4"/>
    <w:rsid w:val="00324AEC"/>
    <w:rsid w:val="003259B3"/>
    <w:rsid w:val="00325D8A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3B1"/>
    <w:rsid w:val="0034273A"/>
    <w:rsid w:val="00342921"/>
    <w:rsid w:val="00342ECC"/>
    <w:rsid w:val="00344BA7"/>
    <w:rsid w:val="00345538"/>
    <w:rsid w:val="00345B4D"/>
    <w:rsid w:val="0034735C"/>
    <w:rsid w:val="0035040A"/>
    <w:rsid w:val="0035078A"/>
    <w:rsid w:val="0035339B"/>
    <w:rsid w:val="00353FC2"/>
    <w:rsid w:val="00354F8F"/>
    <w:rsid w:val="00355DF9"/>
    <w:rsid w:val="0035613B"/>
    <w:rsid w:val="00356F57"/>
    <w:rsid w:val="003573B2"/>
    <w:rsid w:val="0035797D"/>
    <w:rsid w:val="00360AC0"/>
    <w:rsid w:val="00361411"/>
    <w:rsid w:val="00361C88"/>
    <w:rsid w:val="003622DB"/>
    <w:rsid w:val="003659FB"/>
    <w:rsid w:val="00365D25"/>
    <w:rsid w:val="003703CE"/>
    <w:rsid w:val="0037042D"/>
    <w:rsid w:val="00370ABA"/>
    <w:rsid w:val="00371E79"/>
    <w:rsid w:val="00372CB4"/>
    <w:rsid w:val="00373104"/>
    <w:rsid w:val="0037468A"/>
    <w:rsid w:val="00374E5E"/>
    <w:rsid w:val="003753ED"/>
    <w:rsid w:val="00375BF2"/>
    <w:rsid w:val="00376A58"/>
    <w:rsid w:val="00376D4B"/>
    <w:rsid w:val="003774A1"/>
    <w:rsid w:val="00377C0A"/>
    <w:rsid w:val="00380F01"/>
    <w:rsid w:val="00381252"/>
    <w:rsid w:val="003817BB"/>
    <w:rsid w:val="00385792"/>
    <w:rsid w:val="00386485"/>
    <w:rsid w:val="00386524"/>
    <w:rsid w:val="00386FEB"/>
    <w:rsid w:val="00390097"/>
    <w:rsid w:val="0039110C"/>
    <w:rsid w:val="003928BD"/>
    <w:rsid w:val="003933CB"/>
    <w:rsid w:val="003935C1"/>
    <w:rsid w:val="0039371C"/>
    <w:rsid w:val="00394B88"/>
    <w:rsid w:val="00394FDA"/>
    <w:rsid w:val="00395F85"/>
    <w:rsid w:val="00396681"/>
    <w:rsid w:val="003967E3"/>
    <w:rsid w:val="00396A19"/>
    <w:rsid w:val="00397E3D"/>
    <w:rsid w:val="003A08ED"/>
    <w:rsid w:val="003A10E9"/>
    <w:rsid w:val="003A14A2"/>
    <w:rsid w:val="003A44DB"/>
    <w:rsid w:val="003A528A"/>
    <w:rsid w:val="003A5519"/>
    <w:rsid w:val="003A765C"/>
    <w:rsid w:val="003B0307"/>
    <w:rsid w:val="003B0B97"/>
    <w:rsid w:val="003B1558"/>
    <w:rsid w:val="003B1A05"/>
    <w:rsid w:val="003B1C46"/>
    <w:rsid w:val="003B225A"/>
    <w:rsid w:val="003B374D"/>
    <w:rsid w:val="003B49B5"/>
    <w:rsid w:val="003B527D"/>
    <w:rsid w:val="003B6263"/>
    <w:rsid w:val="003B6BF4"/>
    <w:rsid w:val="003C0AC0"/>
    <w:rsid w:val="003C1556"/>
    <w:rsid w:val="003C4418"/>
    <w:rsid w:val="003C5227"/>
    <w:rsid w:val="003C6195"/>
    <w:rsid w:val="003C6394"/>
    <w:rsid w:val="003C68F8"/>
    <w:rsid w:val="003D07E6"/>
    <w:rsid w:val="003D13AF"/>
    <w:rsid w:val="003D2D7C"/>
    <w:rsid w:val="003D3F2B"/>
    <w:rsid w:val="003D4246"/>
    <w:rsid w:val="003D4CCA"/>
    <w:rsid w:val="003D65CC"/>
    <w:rsid w:val="003D6C53"/>
    <w:rsid w:val="003D7B69"/>
    <w:rsid w:val="003E019D"/>
    <w:rsid w:val="003E0669"/>
    <w:rsid w:val="003E0D3C"/>
    <w:rsid w:val="003E2F4A"/>
    <w:rsid w:val="003E40D3"/>
    <w:rsid w:val="003E47D2"/>
    <w:rsid w:val="003E4A21"/>
    <w:rsid w:val="003E5D91"/>
    <w:rsid w:val="003E67F6"/>
    <w:rsid w:val="003E6AC2"/>
    <w:rsid w:val="003E700B"/>
    <w:rsid w:val="003E70C6"/>
    <w:rsid w:val="003F04A3"/>
    <w:rsid w:val="003F1167"/>
    <w:rsid w:val="003F1811"/>
    <w:rsid w:val="003F25A1"/>
    <w:rsid w:val="003F351B"/>
    <w:rsid w:val="003F6CA1"/>
    <w:rsid w:val="003F76FA"/>
    <w:rsid w:val="003F77AD"/>
    <w:rsid w:val="004012BC"/>
    <w:rsid w:val="004025F8"/>
    <w:rsid w:val="0040560D"/>
    <w:rsid w:val="00406892"/>
    <w:rsid w:val="004077B9"/>
    <w:rsid w:val="0041164B"/>
    <w:rsid w:val="004122AE"/>
    <w:rsid w:val="004137CD"/>
    <w:rsid w:val="00414671"/>
    <w:rsid w:val="004151E9"/>
    <w:rsid w:val="00416B9E"/>
    <w:rsid w:val="00417440"/>
    <w:rsid w:val="00417733"/>
    <w:rsid w:val="00417E61"/>
    <w:rsid w:val="00420D18"/>
    <w:rsid w:val="0042199D"/>
    <w:rsid w:val="00421ADC"/>
    <w:rsid w:val="00422B71"/>
    <w:rsid w:val="00422F90"/>
    <w:rsid w:val="004248B8"/>
    <w:rsid w:val="00424983"/>
    <w:rsid w:val="0042592F"/>
    <w:rsid w:val="00427F60"/>
    <w:rsid w:val="004302A9"/>
    <w:rsid w:val="00432D02"/>
    <w:rsid w:val="004333DF"/>
    <w:rsid w:val="004354D5"/>
    <w:rsid w:val="0043778B"/>
    <w:rsid w:val="004379A2"/>
    <w:rsid w:val="00440871"/>
    <w:rsid w:val="00440DDF"/>
    <w:rsid w:val="004422E0"/>
    <w:rsid w:val="00442593"/>
    <w:rsid w:val="004436E7"/>
    <w:rsid w:val="0044444D"/>
    <w:rsid w:val="00444E28"/>
    <w:rsid w:val="00445CED"/>
    <w:rsid w:val="004460E4"/>
    <w:rsid w:val="004465DA"/>
    <w:rsid w:val="0044751D"/>
    <w:rsid w:val="00447FE0"/>
    <w:rsid w:val="004509D1"/>
    <w:rsid w:val="00452205"/>
    <w:rsid w:val="00453452"/>
    <w:rsid w:val="0045452C"/>
    <w:rsid w:val="0045589C"/>
    <w:rsid w:val="00456165"/>
    <w:rsid w:val="00457355"/>
    <w:rsid w:val="00457E2C"/>
    <w:rsid w:val="00460169"/>
    <w:rsid w:val="00460367"/>
    <w:rsid w:val="004603DF"/>
    <w:rsid w:val="00460839"/>
    <w:rsid w:val="004617F0"/>
    <w:rsid w:val="00462A26"/>
    <w:rsid w:val="00462D43"/>
    <w:rsid w:val="00462FF1"/>
    <w:rsid w:val="0046343E"/>
    <w:rsid w:val="0046542B"/>
    <w:rsid w:val="004663F4"/>
    <w:rsid w:val="0046660E"/>
    <w:rsid w:val="00467960"/>
    <w:rsid w:val="004709AC"/>
    <w:rsid w:val="004717BD"/>
    <w:rsid w:val="00472DE0"/>
    <w:rsid w:val="00472E66"/>
    <w:rsid w:val="004733F7"/>
    <w:rsid w:val="004736EE"/>
    <w:rsid w:val="00473864"/>
    <w:rsid w:val="00473B0A"/>
    <w:rsid w:val="00474316"/>
    <w:rsid w:val="0047529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15F6"/>
    <w:rsid w:val="00481DB5"/>
    <w:rsid w:val="00482F41"/>
    <w:rsid w:val="0048328F"/>
    <w:rsid w:val="00484299"/>
    <w:rsid w:val="004842F0"/>
    <w:rsid w:val="00487DD4"/>
    <w:rsid w:val="004905C7"/>
    <w:rsid w:val="004914E3"/>
    <w:rsid w:val="00491F45"/>
    <w:rsid w:val="00491F66"/>
    <w:rsid w:val="004927D0"/>
    <w:rsid w:val="00492F1A"/>
    <w:rsid w:val="0049570B"/>
    <w:rsid w:val="004961A7"/>
    <w:rsid w:val="0049641E"/>
    <w:rsid w:val="004966C0"/>
    <w:rsid w:val="004A0090"/>
    <w:rsid w:val="004A071B"/>
    <w:rsid w:val="004A13F0"/>
    <w:rsid w:val="004A24A9"/>
    <w:rsid w:val="004A3A57"/>
    <w:rsid w:val="004A4134"/>
    <w:rsid w:val="004A5353"/>
    <w:rsid w:val="004A5755"/>
    <w:rsid w:val="004A62C5"/>
    <w:rsid w:val="004A760C"/>
    <w:rsid w:val="004A7BD0"/>
    <w:rsid w:val="004B0559"/>
    <w:rsid w:val="004B2B29"/>
    <w:rsid w:val="004B3356"/>
    <w:rsid w:val="004B376B"/>
    <w:rsid w:val="004B3FEA"/>
    <w:rsid w:val="004B5A74"/>
    <w:rsid w:val="004B751C"/>
    <w:rsid w:val="004C0F12"/>
    <w:rsid w:val="004C3F25"/>
    <w:rsid w:val="004C4B73"/>
    <w:rsid w:val="004C51C3"/>
    <w:rsid w:val="004C5F7D"/>
    <w:rsid w:val="004C649A"/>
    <w:rsid w:val="004C6AD7"/>
    <w:rsid w:val="004C7714"/>
    <w:rsid w:val="004C7E8D"/>
    <w:rsid w:val="004D137E"/>
    <w:rsid w:val="004D1BAB"/>
    <w:rsid w:val="004D1C09"/>
    <w:rsid w:val="004D2E0C"/>
    <w:rsid w:val="004D2FB2"/>
    <w:rsid w:val="004D3535"/>
    <w:rsid w:val="004D3ADB"/>
    <w:rsid w:val="004D729D"/>
    <w:rsid w:val="004E140C"/>
    <w:rsid w:val="004E1987"/>
    <w:rsid w:val="004E1D63"/>
    <w:rsid w:val="004E27F0"/>
    <w:rsid w:val="004E2E09"/>
    <w:rsid w:val="004E4C19"/>
    <w:rsid w:val="004E4CDF"/>
    <w:rsid w:val="004E4FAD"/>
    <w:rsid w:val="004E5B4F"/>
    <w:rsid w:val="004E7AA7"/>
    <w:rsid w:val="004F505C"/>
    <w:rsid w:val="004F5AC6"/>
    <w:rsid w:val="004F6308"/>
    <w:rsid w:val="004F638C"/>
    <w:rsid w:val="00500B0C"/>
    <w:rsid w:val="00501838"/>
    <w:rsid w:val="0050190D"/>
    <w:rsid w:val="0050239A"/>
    <w:rsid w:val="005023DA"/>
    <w:rsid w:val="00504579"/>
    <w:rsid w:val="00504746"/>
    <w:rsid w:val="00504F87"/>
    <w:rsid w:val="0050708F"/>
    <w:rsid w:val="00507519"/>
    <w:rsid w:val="00514289"/>
    <w:rsid w:val="00514FA6"/>
    <w:rsid w:val="00515524"/>
    <w:rsid w:val="00516D60"/>
    <w:rsid w:val="00517854"/>
    <w:rsid w:val="005218F0"/>
    <w:rsid w:val="00523020"/>
    <w:rsid w:val="00523621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36E2C"/>
    <w:rsid w:val="005404E6"/>
    <w:rsid w:val="00540E9A"/>
    <w:rsid w:val="005414BA"/>
    <w:rsid w:val="0054194D"/>
    <w:rsid w:val="00541C8E"/>
    <w:rsid w:val="005446C8"/>
    <w:rsid w:val="005449D5"/>
    <w:rsid w:val="00545696"/>
    <w:rsid w:val="00545823"/>
    <w:rsid w:val="0054601F"/>
    <w:rsid w:val="00546878"/>
    <w:rsid w:val="00552863"/>
    <w:rsid w:val="00552927"/>
    <w:rsid w:val="00553BE5"/>
    <w:rsid w:val="00554D2E"/>
    <w:rsid w:val="005550CA"/>
    <w:rsid w:val="0055556F"/>
    <w:rsid w:val="00555953"/>
    <w:rsid w:val="00556062"/>
    <w:rsid w:val="005561FD"/>
    <w:rsid w:val="005576F2"/>
    <w:rsid w:val="005578D5"/>
    <w:rsid w:val="005601AD"/>
    <w:rsid w:val="0056126E"/>
    <w:rsid w:val="0056350E"/>
    <w:rsid w:val="005639AE"/>
    <w:rsid w:val="005640D1"/>
    <w:rsid w:val="00564DD7"/>
    <w:rsid w:val="00565A31"/>
    <w:rsid w:val="00565CA4"/>
    <w:rsid w:val="00566331"/>
    <w:rsid w:val="0056667E"/>
    <w:rsid w:val="00566787"/>
    <w:rsid w:val="005713E2"/>
    <w:rsid w:val="00572CE3"/>
    <w:rsid w:val="00572EA6"/>
    <w:rsid w:val="00573313"/>
    <w:rsid w:val="0057342C"/>
    <w:rsid w:val="00573817"/>
    <w:rsid w:val="00574C71"/>
    <w:rsid w:val="00574D7A"/>
    <w:rsid w:val="00574FF8"/>
    <w:rsid w:val="005762E3"/>
    <w:rsid w:val="00576AEE"/>
    <w:rsid w:val="00577FA1"/>
    <w:rsid w:val="00580AED"/>
    <w:rsid w:val="00580E82"/>
    <w:rsid w:val="00581DCC"/>
    <w:rsid w:val="00582594"/>
    <w:rsid w:val="00582E25"/>
    <w:rsid w:val="00583143"/>
    <w:rsid w:val="00583290"/>
    <w:rsid w:val="00583BF6"/>
    <w:rsid w:val="00583E64"/>
    <w:rsid w:val="0058432A"/>
    <w:rsid w:val="005851D0"/>
    <w:rsid w:val="00585C49"/>
    <w:rsid w:val="00585FE3"/>
    <w:rsid w:val="00590BA6"/>
    <w:rsid w:val="00590EDE"/>
    <w:rsid w:val="00591C32"/>
    <w:rsid w:val="00592B6E"/>
    <w:rsid w:val="00593DFD"/>
    <w:rsid w:val="0059443D"/>
    <w:rsid w:val="0059445F"/>
    <w:rsid w:val="0059638E"/>
    <w:rsid w:val="00596D2B"/>
    <w:rsid w:val="00597A45"/>
    <w:rsid w:val="00597AE1"/>
    <w:rsid w:val="005A0759"/>
    <w:rsid w:val="005A0833"/>
    <w:rsid w:val="005A08AD"/>
    <w:rsid w:val="005A14F3"/>
    <w:rsid w:val="005A38E5"/>
    <w:rsid w:val="005A61E9"/>
    <w:rsid w:val="005A6922"/>
    <w:rsid w:val="005A6F7F"/>
    <w:rsid w:val="005B0302"/>
    <w:rsid w:val="005B153C"/>
    <w:rsid w:val="005B1D28"/>
    <w:rsid w:val="005B34F2"/>
    <w:rsid w:val="005B47EE"/>
    <w:rsid w:val="005B5141"/>
    <w:rsid w:val="005B583E"/>
    <w:rsid w:val="005B64E4"/>
    <w:rsid w:val="005B6839"/>
    <w:rsid w:val="005B6B99"/>
    <w:rsid w:val="005B7F3C"/>
    <w:rsid w:val="005C1BF4"/>
    <w:rsid w:val="005C1FAD"/>
    <w:rsid w:val="005C2C67"/>
    <w:rsid w:val="005C2CC6"/>
    <w:rsid w:val="005C3A2C"/>
    <w:rsid w:val="005C482C"/>
    <w:rsid w:val="005C51AB"/>
    <w:rsid w:val="005C6ACF"/>
    <w:rsid w:val="005C6CA0"/>
    <w:rsid w:val="005C6F94"/>
    <w:rsid w:val="005D0ADD"/>
    <w:rsid w:val="005D0D00"/>
    <w:rsid w:val="005D15A1"/>
    <w:rsid w:val="005D2668"/>
    <w:rsid w:val="005D2FC0"/>
    <w:rsid w:val="005D3069"/>
    <w:rsid w:val="005D31CC"/>
    <w:rsid w:val="005D37C1"/>
    <w:rsid w:val="005D3B49"/>
    <w:rsid w:val="005D7867"/>
    <w:rsid w:val="005D7A5D"/>
    <w:rsid w:val="005E06D7"/>
    <w:rsid w:val="005E0CE3"/>
    <w:rsid w:val="005E0DCE"/>
    <w:rsid w:val="005E2762"/>
    <w:rsid w:val="005E362C"/>
    <w:rsid w:val="005E49EB"/>
    <w:rsid w:val="005E54B3"/>
    <w:rsid w:val="005E58DD"/>
    <w:rsid w:val="005E627D"/>
    <w:rsid w:val="005E7AD2"/>
    <w:rsid w:val="005F04C5"/>
    <w:rsid w:val="005F1073"/>
    <w:rsid w:val="005F11FE"/>
    <w:rsid w:val="005F158B"/>
    <w:rsid w:val="005F1796"/>
    <w:rsid w:val="005F1865"/>
    <w:rsid w:val="005F260E"/>
    <w:rsid w:val="005F2CEB"/>
    <w:rsid w:val="005F2F57"/>
    <w:rsid w:val="005F3F75"/>
    <w:rsid w:val="005F4118"/>
    <w:rsid w:val="005F41F1"/>
    <w:rsid w:val="005F445C"/>
    <w:rsid w:val="005F5072"/>
    <w:rsid w:val="005F54EB"/>
    <w:rsid w:val="005F6FA0"/>
    <w:rsid w:val="006006F0"/>
    <w:rsid w:val="00603F61"/>
    <w:rsid w:val="00604A11"/>
    <w:rsid w:val="00604E04"/>
    <w:rsid w:val="006055B3"/>
    <w:rsid w:val="006062E8"/>
    <w:rsid w:val="0060684C"/>
    <w:rsid w:val="006068AE"/>
    <w:rsid w:val="0060690C"/>
    <w:rsid w:val="00606A5D"/>
    <w:rsid w:val="00607836"/>
    <w:rsid w:val="00607A73"/>
    <w:rsid w:val="00610BAE"/>
    <w:rsid w:val="00611960"/>
    <w:rsid w:val="00611CC5"/>
    <w:rsid w:val="00612F45"/>
    <w:rsid w:val="0061389A"/>
    <w:rsid w:val="0061525F"/>
    <w:rsid w:val="006153C6"/>
    <w:rsid w:val="00616E5B"/>
    <w:rsid w:val="006176FB"/>
    <w:rsid w:val="00617803"/>
    <w:rsid w:val="00620720"/>
    <w:rsid w:val="0062097C"/>
    <w:rsid w:val="00620DCA"/>
    <w:rsid w:val="00621451"/>
    <w:rsid w:val="00625E51"/>
    <w:rsid w:val="00626222"/>
    <w:rsid w:val="00626B25"/>
    <w:rsid w:val="00626CF9"/>
    <w:rsid w:val="00627495"/>
    <w:rsid w:val="00627F19"/>
    <w:rsid w:val="00627FB5"/>
    <w:rsid w:val="006303C5"/>
    <w:rsid w:val="00630A07"/>
    <w:rsid w:val="00630B3E"/>
    <w:rsid w:val="0063185D"/>
    <w:rsid w:val="00631C27"/>
    <w:rsid w:val="006359A9"/>
    <w:rsid w:val="00636A23"/>
    <w:rsid w:val="00636E48"/>
    <w:rsid w:val="006375DD"/>
    <w:rsid w:val="00637B8A"/>
    <w:rsid w:val="006412E7"/>
    <w:rsid w:val="00641FCE"/>
    <w:rsid w:val="00642588"/>
    <w:rsid w:val="00644159"/>
    <w:rsid w:val="00644437"/>
    <w:rsid w:val="00646B1C"/>
    <w:rsid w:val="00647600"/>
    <w:rsid w:val="0064794E"/>
    <w:rsid w:val="00647EB1"/>
    <w:rsid w:val="00651280"/>
    <w:rsid w:val="00652DCD"/>
    <w:rsid w:val="00652E47"/>
    <w:rsid w:val="006536F0"/>
    <w:rsid w:val="00653C22"/>
    <w:rsid w:val="00654197"/>
    <w:rsid w:val="00654A64"/>
    <w:rsid w:val="00655C45"/>
    <w:rsid w:val="0065681E"/>
    <w:rsid w:val="00661127"/>
    <w:rsid w:val="00661FBE"/>
    <w:rsid w:val="00665543"/>
    <w:rsid w:val="00666AA4"/>
    <w:rsid w:val="00666ADC"/>
    <w:rsid w:val="006674E2"/>
    <w:rsid w:val="006701F4"/>
    <w:rsid w:val="00670CDB"/>
    <w:rsid w:val="00671212"/>
    <w:rsid w:val="006725CD"/>
    <w:rsid w:val="00672F4F"/>
    <w:rsid w:val="0067466C"/>
    <w:rsid w:val="0067491D"/>
    <w:rsid w:val="006772FF"/>
    <w:rsid w:val="00681853"/>
    <w:rsid w:val="00684F22"/>
    <w:rsid w:val="00685F77"/>
    <w:rsid w:val="006876E1"/>
    <w:rsid w:val="00687931"/>
    <w:rsid w:val="00690901"/>
    <w:rsid w:val="00691339"/>
    <w:rsid w:val="006926B6"/>
    <w:rsid w:val="00694A4D"/>
    <w:rsid w:val="00694B42"/>
    <w:rsid w:val="00694BA0"/>
    <w:rsid w:val="0069780B"/>
    <w:rsid w:val="006A10EF"/>
    <w:rsid w:val="006A1255"/>
    <w:rsid w:val="006A31B0"/>
    <w:rsid w:val="006A3999"/>
    <w:rsid w:val="006A3BE1"/>
    <w:rsid w:val="006A4F3F"/>
    <w:rsid w:val="006A6B11"/>
    <w:rsid w:val="006A6CAB"/>
    <w:rsid w:val="006B05E8"/>
    <w:rsid w:val="006B07DC"/>
    <w:rsid w:val="006B0F42"/>
    <w:rsid w:val="006B0F53"/>
    <w:rsid w:val="006B135C"/>
    <w:rsid w:val="006B1811"/>
    <w:rsid w:val="006B1F45"/>
    <w:rsid w:val="006B1FFD"/>
    <w:rsid w:val="006B38B8"/>
    <w:rsid w:val="006B40A7"/>
    <w:rsid w:val="006B46B6"/>
    <w:rsid w:val="006B4AA6"/>
    <w:rsid w:val="006B4F44"/>
    <w:rsid w:val="006B5B61"/>
    <w:rsid w:val="006B5EB6"/>
    <w:rsid w:val="006B67DB"/>
    <w:rsid w:val="006C0390"/>
    <w:rsid w:val="006C0988"/>
    <w:rsid w:val="006C33C8"/>
    <w:rsid w:val="006C43C0"/>
    <w:rsid w:val="006C4443"/>
    <w:rsid w:val="006C4B7E"/>
    <w:rsid w:val="006C6739"/>
    <w:rsid w:val="006C7162"/>
    <w:rsid w:val="006D0693"/>
    <w:rsid w:val="006D1B8C"/>
    <w:rsid w:val="006D22AA"/>
    <w:rsid w:val="006D3035"/>
    <w:rsid w:val="006D49FF"/>
    <w:rsid w:val="006D5F25"/>
    <w:rsid w:val="006D665D"/>
    <w:rsid w:val="006D6A57"/>
    <w:rsid w:val="006D7934"/>
    <w:rsid w:val="006D7B6C"/>
    <w:rsid w:val="006E0FE6"/>
    <w:rsid w:val="006E1103"/>
    <w:rsid w:val="006E23B7"/>
    <w:rsid w:val="006E33B1"/>
    <w:rsid w:val="006E43C2"/>
    <w:rsid w:val="006E7268"/>
    <w:rsid w:val="006E7C45"/>
    <w:rsid w:val="006F0340"/>
    <w:rsid w:val="006F0429"/>
    <w:rsid w:val="006F053B"/>
    <w:rsid w:val="006F1930"/>
    <w:rsid w:val="006F2470"/>
    <w:rsid w:val="006F2717"/>
    <w:rsid w:val="006F35DC"/>
    <w:rsid w:val="006F43A8"/>
    <w:rsid w:val="006F4A89"/>
    <w:rsid w:val="006F4E45"/>
    <w:rsid w:val="006F4E97"/>
    <w:rsid w:val="006F5F25"/>
    <w:rsid w:val="006F7D9E"/>
    <w:rsid w:val="0070077F"/>
    <w:rsid w:val="0070281E"/>
    <w:rsid w:val="007037FE"/>
    <w:rsid w:val="00704236"/>
    <w:rsid w:val="007044F1"/>
    <w:rsid w:val="00704B55"/>
    <w:rsid w:val="00705037"/>
    <w:rsid w:val="0070529F"/>
    <w:rsid w:val="007052D2"/>
    <w:rsid w:val="00710661"/>
    <w:rsid w:val="00712F4A"/>
    <w:rsid w:val="00713253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20AD8"/>
    <w:rsid w:val="0072162D"/>
    <w:rsid w:val="007239F7"/>
    <w:rsid w:val="00725D86"/>
    <w:rsid w:val="00726477"/>
    <w:rsid w:val="00726894"/>
    <w:rsid w:val="0073059C"/>
    <w:rsid w:val="00730CB0"/>
    <w:rsid w:val="00730DD1"/>
    <w:rsid w:val="0073164B"/>
    <w:rsid w:val="00731810"/>
    <w:rsid w:val="00732FB8"/>
    <w:rsid w:val="00733D64"/>
    <w:rsid w:val="00734C00"/>
    <w:rsid w:val="00734F25"/>
    <w:rsid w:val="00734FE2"/>
    <w:rsid w:val="00735EDA"/>
    <w:rsid w:val="00736D9D"/>
    <w:rsid w:val="00736FE7"/>
    <w:rsid w:val="0073786D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2CC"/>
    <w:rsid w:val="00746A54"/>
    <w:rsid w:val="00746BFE"/>
    <w:rsid w:val="007475D2"/>
    <w:rsid w:val="00747F5D"/>
    <w:rsid w:val="00750A64"/>
    <w:rsid w:val="0075127F"/>
    <w:rsid w:val="00751D58"/>
    <w:rsid w:val="0075308B"/>
    <w:rsid w:val="00753213"/>
    <w:rsid w:val="007532BF"/>
    <w:rsid w:val="0075347B"/>
    <w:rsid w:val="00754A7D"/>
    <w:rsid w:val="00754E95"/>
    <w:rsid w:val="0075759A"/>
    <w:rsid w:val="00757B16"/>
    <w:rsid w:val="00760353"/>
    <w:rsid w:val="0076144B"/>
    <w:rsid w:val="00763B1C"/>
    <w:rsid w:val="00763D16"/>
    <w:rsid w:val="007644DC"/>
    <w:rsid w:val="00764D5C"/>
    <w:rsid w:val="00765AE1"/>
    <w:rsid w:val="00766552"/>
    <w:rsid w:val="00766905"/>
    <w:rsid w:val="00767994"/>
    <w:rsid w:val="0077108B"/>
    <w:rsid w:val="00772B7C"/>
    <w:rsid w:val="00773414"/>
    <w:rsid w:val="007740D9"/>
    <w:rsid w:val="00774858"/>
    <w:rsid w:val="00774D28"/>
    <w:rsid w:val="00775530"/>
    <w:rsid w:val="00775C4C"/>
    <w:rsid w:val="00775DCF"/>
    <w:rsid w:val="00776445"/>
    <w:rsid w:val="00780A57"/>
    <w:rsid w:val="00780F29"/>
    <w:rsid w:val="007825BE"/>
    <w:rsid w:val="00783791"/>
    <w:rsid w:val="0078425D"/>
    <w:rsid w:val="0078452E"/>
    <w:rsid w:val="00785D2B"/>
    <w:rsid w:val="00785E0A"/>
    <w:rsid w:val="00790521"/>
    <w:rsid w:val="00790EED"/>
    <w:rsid w:val="00791842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31D9"/>
    <w:rsid w:val="007A40D1"/>
    <w:rsid w:val="007A51FD"/>
    <w:rsid w:val="007A5278"/>
    <w:rsid w:val="007A64BD"/>
    <w:rsid w:val="007B0F04"/>
    <w:rsid w:val="007B1045"/>
    <w:rsid w:val="007B4F21"/>
    <w:rsid w:val="007B68DF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AF2"/>
    <w:rsid w:val="007D1411"/>
    <w:rsid w:val="007D18AF"/>
    <w:rsid w:val="007D1BE4"/>
    <w:rsid w:val="007D1CEA"/>
    <w:rsid w:val="007D3656"/>
    <w:rsid w:val="007D37CF"/>
    <w:rsid w:val="007D42A6"/>
    <w:rsid w:val="007D50DB"/>
    <w:rsid w:val="007D5EA5"/>
    <w:rsid w:val="007D79C4"/>
    <w:rsid w:val="007E08A9"/>
    <w:rsid w:val="007E1EEA"/>
    <w:rsid w:val="007E29C0"/>
    <w:rsid w:val="007E2B67"/>
    <w:rsid w:val="007E44CF"/>
    <w:rsid w:val="007E4F76"/>
    <w:rsid w:val="007E6087"/>
    <w:rsid w:val="007E6511"/>
    <w:rsid w:val="007E71D7"/>
    <w:rsid w:val="007F065B"/>
    <w:rsid w:val="007F07F1"/>
    <w:rsid w:val="007F0EB4"/>
    <w:rsid w:val="007F21B2"/>
    <w:rsid w:val="007F4482"/>
    <w:rsid w:val="007F4EFD"/>
    <w:rsid w:val="007F639D"/>
    <w:rsid w:val="007F7151"/>
    <w:rsid w:val="007F7CF5"/>
    <w:rsid w:val="00801B1C"/>
    <w:rsid w:val="00801DD2"/>
    <w:rsid w:val="00803187"/>
    <w:rsid w:val="00803330"/>
    <w:rsid w:val="00803B8D"/>
    <w:rsid w:val="00803EFB"/>
    <w:rsid w:val="0080471C"/>
    <w:rsid w:val="008050DA"/>
    <w:rsid w:val="00805831"/>
    <w:rsid w:val="00805B8B"/>
    <w:rsid w:val="0080607D"/>
    <w:rsid w:val="008064F0"/>
    <w:rsid w:val="008065EC"/>
    <w:rsid w:val="00806712"/>
    <w:rsid w:val="00807ABA"/>
    <w:rsid w:val="00807D99"/>
    <w:rsid w:val="008107F5"/>
    <w:rsid w:val="00810D57"/>
    <w:rsid w:val="00812EC1"/>
    <w:rsid w:val="00814674"/>
    <w:rsid w:val="00814F02"/>
    <w:rsid w:val="00817FE5"/>
    <w:rsid w:val="0082036C"/>
    <w:rsid w:val="008207B1"/>
    <w:rsid w:val="008212A0"/>
    <w:rsid w:val="008214FF"/>
    <w:rsid w:val="00826BB5"/>
    <w:rsid w:val="00826BF8"/>
    <w:rsid w:val="00826CA3"/>
    <w:rsid w:val="00827038"/>
    <w:rsid w:val="0082766C"/>
    <w:rsid w:val="00827C7F"/>
    <w:rsid w:val="00831CDC"/>
    <w:rsid w:val="008322EA"/>
    <w:rsid w:val="00832335"/>
    <w:rsid w:val="008327B0"/>
    <w:rsid w:val="00832B23"/>
    <w:rsid w:val="00832C3F"/>
    <w:rsid w:val="00834B61"/>
    <w:rsid w:val="00835BC8"/>
    <w:rsid w:val="00836A60"/>
    <w:rsid w:val="00836DF9"/>
    <w:rsid w:val="00837110"/>
    <w:rsid w:val="00841AB3"/>
    <w:rsid w:val="00843599"/>
    <w:rsid w:val="0084377C"/>
    <w:rsid w:val="00843C63"/>
    <w:rsid w:val="008446A9"/>
    <w:rsid w:val="00845BA8"/>
    <w:rsid w:val="008506B2"/>
    <w:rsid w:val="008560BC"/>
    <w:rsid w:val="00856909"/>
    <w:rsid w:val="00856BCC"/>
    <w:rsid w:val="008604B0"/>
    <w:rsid w:val="00860577"/>
    <w:rsid w:val="00860EBA"/>
    <w:rsid w:val="00860F90"/>
    <w:rsid w:val="0086144B"/>
    <w:rsid w:val="008638DB"/>
    <w:rsid w:val="00863916"/>
    <w:rsid w:val="0086472B"/>
    <w:rsid w:val="008677FC"/>
    <w:rsid w:val="0087014B"/>
    <w:rsid w:val="008727EA"/>
    <w:rsid w:val="00873C3D"/>
    <w:rsid w:val="008753EC"/>
    <w:rsid w:val="00876F61"/>
    <w:rsid w:val="0088025E"/>
    <w:rsid w:val="00880F44"/>
    <w:rsid w:val="00881AA9"/>
    <w:rsid w:val="008825EE"/>
    <w:rsid w:val="00883CBC"/>
    <w:rsid w:val="008848F7"/>
    <w:rsid w:val="00885630"/>
    <w:rsid w:val="008907F4"/>
    <w:rsid w:val="00890B3F"/>
    <w:rsid w:val="008916C7"/>
    <w:rsid w:val="008919B2"/>
    <w:rsid w:val="00891D71"/>
    <w:rsid w:val="00893261"/>
    <w:rsid w:val="00894255"/>
    <w:rsid w:val="008948FE"/>
    <w:rsid w:val="0089508B"/>
    <w:rsid w:val="00895F31"/>
    <w:rsid w:val="008A1972"/>
    <w:rsid w:val="008A1CA0"/>
    <w:rsid w:val="008A2CF8"/>
    <w:rsid w:val="008A2DEB"/>
    <w:rsid w:val="008A2F2E"/>
    <w:rsid w:val="008A40BD"/>
    <w:rsid w:val="008A551F"/>
    <w:rsid w:val="008A6D09"/>
    <w:rsid w:val="008B3BB3"/>
    <w:rsid w:val="008B41F0"/>
    <w:rsid w:val="008B4E6E"/>
    <w:rsid w:val="008B5EBE"/>
    <w:rsid w:val="008B6B35"/>
    <w:rsid w:val="008B6D1D"/>
    <w:rsid w:val="008B6F82"/>
    <w:rsid w:val="008C07A6"/>
    <w:rsid w:val="008C12F8"/>
    <w:rsid w:val="008C18F6"/>
    <w:rsid w:val="008C2544"/>
    <w:rsid w:val="008C2A49"/>
    <w:rsid w:val="008C3805"/>
    <w:rsid w:val="008C5C5E"/>
    <w:rsid w:val="008C737B"/>
    <w:rsid w:val="008D0071"/>
    <w:rsid w:val="008D0484"/>
    <w:rsid w:val="008D2691"/>
    <w:rsid w:val="008D4289"/>
    <w:rsid w:val="008D50C2"/>
    <w:rsid w:val="008D55E3"/>
    <w:rsid w:val="008D68F4"/>
    <w:rsid w:val="008D71FE"/>
    <w:rsid w:val="008E062C"/>
    <w:rsid w:val="008E0BB1"/>
    <w:rsid w:val="008E1518"/>
    <w:rsid w:val="008E1602"/>
    <w:rsid w:val="008E1D40"/>
    <w:rsid w:val="008E2B40"/>
    <w:rsid w:val="008E4B2C"/>
    <w:rsid w:val="008E75A5"/>
    <w:rsid w:val="008E7800"/>
    <w:rsid w:val="008E79F0"/>
    <w:rsid w:val="008F06DD"/>
    <w:rsid w:val="008F0C61"/>
    <w:rsid w:val="008F16D3"/>
    <w:rsid w:val="008F285C"/>
    <w:rsid w:val="008F2A45"/>
    <w:rsid w:val="008F2F64"/>
    <w:rsid w:val="008F487F"/>
    <w:rsid w:val="008F5EBE"/>
    <w:rsid w:val="008F6D91"/>
    <w:rsid w:val="008F6FCD"/>
    <w:rsid w:val="008F7919"/>
    <w:rsid w:val="009000E6"/>
    <w:rsid w:val="009003C4"/>
    <w:rsid w:val="00901297"/>
    <w:rsid w:val="0090196C"/>
    <w:rsid w:val="009019EB"/>
    <w:rsid w:val="00902428"/>
    <w:rsid w:val="0090253D"/>
    <w:rsid w:val="00902DFF"/>
    <w:rsid w:val="00903659"/>
    <w:rsid w:val="00904BF0"/>
    <w:rsid w:val="00906218"/>
    <w:rsid w:val="00906B92"/>
    <w:rsid w:val="00907817"/>
    <w:rsid w:val="0091048D"/>
    <w:rsid w:val="00910765"/>
    <w:rsid w:val="00910F73"/>
    <w:rsid w:val="009122CB"/>
    <w:rsid w:val="009137EF"/>
    <w:rsid w:val="00914E04"/>
    <w:rsid w:val="009153C4"/>
    <w:rsid w:val="00916ADA"/>
    <w:rsid w:val="00916C23"/>
    <w:rsid w:val="00917805"/>
    <w:rsid w:val="00917A21"/>
    <w:rsid w:val="00920392"/>
    <w:rsid w:val="00920C81"/>
    <w:rsid w:val="009225B9"/>
    <w:rsid w:val="00923CC5"/>
    <w:rsid w:val="009243A8"/>
    <w:rsid w:val="00925537"/>
    <w:rsid w:val="0092637F"/>
    <w:rsid w:val="00927CE5"/>
    <w:rsid w:val="00930B2E"/>
    <w:rsid w:val="00934419"/>
    <w:rsid w:val="00934DE1"/>
    <w:rsid w:val="00934F0E"/>
    <w:rsid w:val="009355E7"/>
    <w:rsid w:val="009358AA"/>
    <w:rsid w:val="00936F31"/>
    <w:rsid w:val="00937241"/>
    <w:rsid w:val="0093747B"/>
    <w:rsid w:val="00937619"/>
    <w:rsid w:val="0094035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B59"/>
    <w:rsid w:val="00950D5A"/>
    <w:rsid w:val="00952FFE"/>
    <w:rsid w:val="00953377"/>
    <w:rsid w:val="009534F8"/>
    <w:rsid w:val="009540D0"/>
    <w:rsid w:val="00954718"/>
    <w:rsid w:val="00954E94"/>
    <w:rsid w:val="009550F7"/>
    <w:rsid w:val="00956D78"/>
    <w:rsid w:val="00957F61"/>
    <w:rsid w:val="00960479"/>
    <w:rsid w:val="00964596"/>
    <w:rsid w:val="009658C8"/>
    <w:rsid w:val="009658D9"/>
    <w:rsid w:val="00966FE0"/>
    <w:rsid w:val="00967BBA"/>
    <w:rsid w:val="009704AD"/>
    <w:rsid w:val="009710CF"/>
    <w:rsid w:val="009723BC"/>
    <w:rsid w:val="00973BF1"/>
    <w:rsid w:val="00973E57"/>
    <w:rsid w:val="00973E9B"/>
    <w:rsid w:val="00974090"/>
    <w:rsid w:val="00975313"/>
    <w:rsid w:val="00975CDE"/>
    <w:rsid w:val="00976D78"/>
    <w:rsid w:val="009771B2"/>
    <w:rsid w:val="00977E38"/>
    <w:rsid w:val="00982ABD"/>
    <w:rsid w:val="009848BC"/>
    <w:rsid w:val="00984AF3"/>
    <w:rsid w:val="009852BD"/>
    <w:rsid w:val="0098558A"/>
    <w:rsid w:val="00986F2A"/>
    <w:rsid w:val="009900FA"/>
    <w:rsid w:val="00990DF9"/>
    <w:rsid w:val="00991516"/>
    <w:rsid w:val="009918FE"/>
    <w:rsid w:val="009919B7"/>
    <w:rsid w:val="00994098"/>
    <w:rsid w:val="00996747"/>
    <w:rsid w:val="00996835"/>
    <w:rsid w:val="00997838"/>
    <w:rsid w:val="009A0C6A"/>
    <w:rsid w:val="009A267E"/>
    <w:rsid w:val="009A279E"/>
    <w:rsid w:val="009A2BBC"/>
    <w:rsid w:val="009A3FE2"/>
    <w:rsid w:val="009A4447"/>
    <w:rsid w:val="009A4A03"/>
    <w:rsid w:val="009A4E5D"/>
    <w:rsid w:val="009A4E8D"/>
    <w:rsid w:val="009A50FA"/>
    <w:rsid w:val="009B0129"/>
    <w:rsid w:val="009B027D"/>
    <w:rsid w:val="009B0463"/>
    <w:rsid w:val="009B38B2"/>
    <w:rsid w:val="009B4841"/>
    <w:rsid w:val="009B5448"/>
    <w:rsid w:val="009B6F68"/>
    <w:rsid w:val="009B7115"/>
    <w:rsid w:val="009B7353"/>
    <w:rsid w:val="009C0BC7"/>
    <w:rsid w:val="009C0C2A"/>
    <w:rsid w:val="009C0F55"/>
    <w:rsid w:val="009C14B3"/>
    <w:rsid w:val="009C367C"/>
    <w:rsid w:val="009C3D40"/>
    <w:rsid w:val="009C51B3"/>
    <w:rsid w:val="009C5CAA"/>
    <w:rsid w:val="009C6C8D"/>
    <w:rsid w:val="009D021D"/>
    <w:rsid w:val="009D02F1"/>
    <w:rsid w:val="009D2427"/>
    <w:rsid w:val="009D2FC6"/>
    <w:rsid w:val="009D450D"/>
    <w:rsid w:val="009D66EF"/>
    <w:rsid w:val="009D6C22"/>
    <w:rsid w:val="009D76D5"/>
    <w:rsid w:val="009E0709"/>
    <w:rsid w:val="009E1FB9"/>
    <w:rsid w:val="009E21EA"/>
    <w:rsid w:val="009E2387"/>
    <w:rsid w:val="009E3A80"/>
    <w:rsid w:val="009E5A37"/>
    <w:rsid w:val="009E643C"/>
    <w:rsid w:val="009E7604"/>
    <w:rsid w:val="009E7E35"/>
    <w:rsid w:val="009F0426"/>
    <w:rsid w:val="009F0E72"/>
    <w:rsid w:val="009F1F0B"/>
    <w:rsid w:val="009F2C6B"/>
    <w:rsid w:val="009F35FE"/>
    <w:rsid w:val="009F4438"/>
    <w:rsid w:val="009F4AD3"/>
    <w:rsid w:val="009F5D9D"/>
    <w:rsid w:val="009F5E4C"/>
    <w:rsid w:val="009F6495"/>
    <w:rsid w:val="00A000DF"/>
    <w:rsid w:val="00A0632B"/>
    <w:rsid w:val="00A06531"/>
    <w:rsid w:val="00A0740C"/>
    <w:rsid w:val="00A07729"/>
    <w:rsid w:val="00A07AE6"/>
    <w:rsid w:val="00A11197"/>
    <w:rsid w:val="00A12234"/>
    <w:rsid w:val="00A12603"/>
    <w:rsid w:val="00A13A29"/>
    <w:rsid w:val="00A1479B"/>
    <w:rsid w:val="00A1558E"/>
    <w:rsid w:val="00A16BD7"/>
    <w:rsid w:val="00A1784C"/>
    <w:rsid w:val="00A20C67"/>
    <w:rsid w:val="00A20F2C"/>
    <w:rsid w:val="00A2164F"/>
    <w:rsid w:val="00A2219F"/>
    <w:rsid w:val="00A22D4F"/>
    <w:rsid w:val="00A232FD"/>
    <w:rsid w:val="00A237F6"/>
    <w:rsid w:val="00A23C27"/>
    <w:rsid w:val="00A26220"/>
    <w:rsid w:val="00A26558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0B0"/>
    <w:rsid w:val="00A3481E"/>
    <w:rsid w:val="00A405C3"/>
    <w:rsid w:val="00A42B81"/>
    <w:rsid w:val="00A43446"/>
    <w:rsid w:val="00A43DDC"/>
    <w:rsid w:val="00A44885"/>
    <w:rsid w:val="00A45145"/>
    <w:rsid w:val="00A45DAB"/>
    <w:rsid w:val="00A4600F"/>
    <w:rsid w:val="00A46E88"/>
    <w:rsid w:val="00A477A7"/>
    <w:rsid w:val="00A47AC2"/>
    <w:rsid w:val="00A50531"/>
    <w:rsid w:val="00A51A6C"/>
    <w:rsid w:val="00A534DF"/>
    <w:rsid w:val="00A5369E"/>
    <w:rsid w:val="00A559D4"/>
    <w:rsid w:val="00A55EAC"/>
    <w:rsid w:val="00A574E9"/>
    <w:rsid w:val="00A579CE"/>
    <w:rsid w:val="00A60C2A"/>
    <w:rsid w:val="00A61094"/>
    <w:rsid w:val="00A6116B"/>
    <w:rsid w:val="00A61934"/>
    <w:rsid w:val="00A6365A"/>
    <w:rsid w:val="00A64766"/>
    <w:rsid w:val="00A65BAD"/>
    <w:rsid w:val="00A65F23"/>
    <w:rsid w:val="00A668BC"/>
    <w:rsid w:val="00A67D7A"/>
    <w:rsid w:val="00A70B88"/>
    <w:rsid w:val="00A70EED"/>
    <w:rsid w:val="00A711A1"/>
    <w:rsid w:val="00A71FC4"/>
    <w:rsid w:val="00A727D3"/>
    <w:rsid w:val="00A72CC2"/>
    <w:rsid w:val="00A74231"/>
    <w:rsid w:val="00A77735"/>
    <w:rsid w:val="00A826DF"/>
    <w:rsid w:val="00A835DE"/>
    <w:rsid w:val="00A83609"/>
    <w:rsid w:val="00A83BA8"/>
    <w:rsid w:val="00A84038"/>
    <w:rsid w:val="00A84B03"/>
    <w:rsid w:val="00A8592E"/>
    <w:rsid w:val="00A85CAE"/>
    <w:rsid w:val="00A86AFD"/>
    <w:rsid w:val="00A87E1C"/>
    <w:rsid w:val="00A91045"/>
    <w:rsid w:val="00A92D71"/>
    <w:rsid w:val="00A92FFA"/>
    <w:rsid w:val="00A932D5"/>
    <w:rsid w:val="00A9408A"/>
    <w:rsid w:val="00A94D57"/>
    <w:rsid w:val="00A95F76"/>
    <w:rsid w:val="00AA08FE"/>
    <w:rsid w:val="00AA1084"/>
    <w:rsid w:val="00AA1B49"/>
    <w:rsid w:val="00AA2A54"/>
    <w:rsid w:val="00AA39FE"/>
    <w:rsid w:val="00AA484B"/>
    <w:rsid w:val="00AA491C"/>
    <w:rsid w:val="00AA5848"/>
    <w:rsid w:val="00AA5A89"/>
    <w:rsid w:val="00AA5C79"/>
    <w:rsid w:val="00AA5F89"/>
    <w:rsid w:val="00AA62D2"/>
    <w:rsid w:val="00AA6D4B"/>
    <w:rsid w:val="00AA7268"/>
    <w:rsid w:val="00AA7956"/>
    <w:rsid w:val="00AA799C"/>
    <w:rsid w:val="00AA7AF4"/>
    <w:rsid w:val="00AB05D8"/>
    <w:rsid w:val="00AB17CD"/>
    <w:rsid w:val="00AB219B"/>
    <w:rsid w:val="00AB336C"/>
    <w:rsid w:val="00AB409A"/>
    <w:rsid w:val="00AB4607"/>
    <w:rsid w:val="00AB4A9E"/>
    <w:rsid w:val="00AB5071"/>
    <w:rsid w:val="00AB6A4A"/>
    <w:rsid w:val="00AB74CB"/>
    <w:rsid w:val="00AC02A6"/>
    <w:rsid w:val="00AC03D3"/>
    <w:rsid w:val="00AC0571"/>
    <w:rsid w:val="00AC12EE"/>
    <w:rsid w:val="00AC14B2"/>
    <w:rsid w:val="00AC2B95"/>
    <w:rsid w:val="00AC2CA9"/>
    <w:rsid w:val="00AC3C0D"/>
    <w:rsid w:val="00AC3E91"/>
    <w:rsid w:val="00AC4EA7"/>
    <w:rsid w:val="00AC6901"/>
    <w:rsid w:val="00AD1932"/>
    <w:rsid w:val="00AD2472"/>
    <w:rsid w:val="00AD396D"/>
    <w:rsid w:val="00AD3E2E"/>
    <w:rsid w:val="00AD49BA"/>
    <w:rsid w:val="00AD4DFE"/>
    <w:rsid w:val="00AD5D58"/>
    <w:rsid w:val="00AD6CCD"/>
    <w:rsid w:val="00AD6E8D"/>
    <w:rsid w:val="00AD7BAA"/>
    <w:rsid w:val="00AD7C55"/>
    <w:rsid w:val="00AE1C0F"/>
    <w:rsid w:val="00AE1F17"/>
    <w:rsid w:val="00AE2DC6"/>
    <w:rsid w:val="00AE69D9"/>
    <w:rsid w:val="00AE6F27"/>
    <w:rsid w:val="00AF1C3C"/>
    <w:rsid w:val="00AF29C8"/>
    <w:rsid w:val="00AF2E49"/>
    <w:rsid w:val="00AF2EEF"/>
    <w:rsid w:val="00AF3BE1"/>
    <w:rsid w:val="00AF3CE8"/>
    <w:rsid w:val="00AF53F9"/>
    <w:rsid w:val="00AF5F07"/>
    <w:rsid w:val="00AF6E31"/>
    <w:rsid w:val="00AF7102"/>
    <w:rsid w:val="00B0051B"/>
    <w:rsid w:val="00B008CA"/>
    <w:rsid w:val="00B00D9A"/>
    <w:rsid w:val="00B02AB3"/>
    <w:rsid w:val="00B02C48"/>
    <w:rsid w:val="00B05A70"/>
    <w:rsid w:val="00B069B4"/>
    <w:rsid w:val="00B06CD5"/>
    <w:rsid w:val="00B10A8A"/>
    <w:rsid w:val="00B12DA5"/>
    <w:rsid w:val="00B134BC"/>
    <w:rsid w:val="00B13601"/>
    <w:rsid w:val="00B13DFC"/>
    <w:rsid w:val="00B13F1F"/>
    <w:rsid w:val="00B14520"/>
    <w:rsid w:val="00B14767"/>
    <w:rsid w:val="00B150DC"/>
    <w:rsid w:val="00B167AB"/>
    <w:rsid w:val="00B16E2E"/>
    <w:rsid w:val="00B20D1D"/>
    <w:rsid w:val="00B20F2B"/>
    <w:rsid w:val="00B218E0"/>
    <w:rsid w:val="00B2345F"/>
    <w:rsid w:val="00B23509"/>
    <w:rsid w:val="00B23F31"/>
    <w:rsid w:val="00B24B6C"/>
    <w:rsid w:val="00B25CCB"/>
    <w:rsid w:val="00B2636F"/>
    <w:rsid w:val="00B2701C"/>
    <w:rsid w:val="00B27691"/>
    <w:rsid w:val="00B27BC6"/>
    <w:rsid w:val="00B30B28"/>
    <w:rsid w:val="00B3198D"/>
    <w:rsid w:val="00B31BE1"/>
    <w:rsid w:val="00B3221C"/>
    <w:rsid w:val="00B32283"/>
    <w:rsid w:val="00B32D90"/>
    <w:rsid w:val="00B33075"/>
    <w:rsid w:val="00B34593"/>
    <w:rsid w:val="00B34BC8"/>
    <w:rsid w:val="00B3531F"/>
    <w:rsid w:val="00B35F41"/>
    <w:rsid w:val="00B36025"/>
    <w:rsid w:val="00B40201"/>
    <w:rsid w:val="00B403C0"/>
    <w:rsid w:val="00B40458"/>
    <w:rsid w:val="00B4159C"/>
    <w:rsid w:val="00B41DA2"/>
    <w:rsid w:val="00B42C61"/>
    <w:rsid w:val="00B453EF"/>
    <w:rsid w:val="00B467E0"/>
    <w:rsid w:val="00B47C7D"/>
    <w:rsid w:val="00B508AA"/>
    <w:rsid w:val="00B50FD5"/>
    <w:rsid w:val="00B51678"/>
    <w:rsid w:val="00B51684"/>
    <w:rsid w:val="00B51687"/>
    <w:rsid w:val="00B518CE"/>
    <w:rsid w:val="00B52233"/>
    <w:rsid w:val="00B525FE"/>
    <w:rsid w:val="00B530D0"/>
    <w:rsid w:val="00B53108"/>
    <w:rsid w:val="00B5541E"/>
    <w:rsid w:val="00B569EE"/>
    <w:rsid w:val="00B61141"/>
    <w:rsid w:val="00B61F77"/>
    <w:rsid w:val="00B62487"/>
    <w:rsid w:val="00B66003"/>
    <w:rsid w:val="00B660EF"/>
    <w:rsid w:val="00B67FDE"/>
    <w:rsid w:val="00B7009E"/>
    <w:rsid w:val="00B709B7"/>
    <w:rsid w:val="00B70EE6"/>
    <w:rsid w:val="00B71BE0"/>
    <w:rsid w:val="00B71C1A"/>
    <w:rsid w:val="00B72727"/>
    <w:rsid w:val="00B72A96"/>
    <w:rsid w:val="00B73787"/>
    <w:rsid w:val="00B73A2D"/>
    <w:rsid w:val="00B73E5E"/>
    <w:rsid w:val="00B73F4B"/>
    <w:rsid w:val="00B7457F"/>
    <w:rsid w:val="00B765ED"/>
    <w:rsid w:val="00B768AA"/>
    <w:rsid w:val="00B76E42"/>
    <w:rsid w:val="00B77590"/>
    <w:rsid w:val="00B779DA"/>
    <w:rsid w:val="00B81440"/>
    <w:rsid w:val="00B8192D"/>
    <w:rsid w:val="00B8244E"/>
    <w:rsid w:val="00B82D89"/>
    <w:rsid w:val="00B8417F"/>
    <w:rsid w:val="00B84193"/>
    <w:rsid w:val="00B84CBA"/>
    <w:rsid w:val="00B85AD9"/>
    <w:rsid w:val="00B8644B"/>
    <w:rsid w:val="00B87A07"/>
    <w:rsid w:val="00B87ABC"/>
    <w:rsid w:val="00B9096B"/>
    <w:rsid w:val="00B911D2"/>
    <w:rsid w:val="00B933D3"/>
    <w:rsid w:val="00B94448"/>
    <w:rsid w:val="00B964B7"/>
    <w:rsid w:val="00B96F3D"/>
    <w:rsid w:val="00BA1A97"/>
    <w:rsid w:val="00BA288E"/>
    <w:rsid w:val="00BA3756"/>
    <w:rsid w:val="00BA459C"/>
    <w:rsid w:val="00BA47E9"/>
    <w:rsid w:val="00BA4ECE"/>
    <w:rsid w:val="00BA5467"/>
    <w:rsid w:val="00BA5617"/>
    <w:rsid w:val="00BA6590"/>
    <w:rsid w:val="00BA7EA5"/>
    <w:rsid w:val="00BB32F1"/>
    <w:rsid w:val="00BB3936"/>
    <w:rsid w:val="00BB3BFE"/>
    <w:rsid w:val="00BB455F"/>
    <w:rsid w:val="00BB6BA4"/>
    <w:rsid w:val="00BC013E"/>
    <w:rsid w:val="00BC05FC"/>
    <w:rsid w:val="00BC18C7"/>
    <w:rsid w:val="00BC197B"/>
    <w:rsid w:val="00BC4307"/>
    <w:rsid w:val="00BC5EB3"/>
    <w:rsid w:val="00BC715E"/>
    <w:rsid w:val="00BC7A2E"/>
    <w:rsid w:val="00BD25C8"/>
    <w:rsid w:val="00BD388C"/>
    <w:rsid w:val="00BD485C"/>
    <w:rsid w:val="00BD4EC2"/>
    <w:rsid w:val="00BD6779"/>
    <w:rsid w:val="00BD7AD7"/>
    <w:rsid w:val="00BE0289"/>
    <w:rsid w:val="00BE19E6"/>
    <w:rsid w:val="00BE1B5B"/>
    <w:rsid w:val="00BE5749"/>
    <w:rsid w:val="00BE5EFC"/>
    <w:rsid w:val="00BE63B7"/>
    <w:rsid w:val="00BE7443"/>
    <w:rsid w:val="00BF0183"/>
    <w:rsid w:val="00BF0500"/>
    <w:rsid w:val="00BF0634"/>
    <w:rsid w:val="00BF0E21"/>
    <w:rsid w:val="00BF0F49"/>
    <w:rsid w:val="00BF3A9B"/>
    <w:rsid w:val="00BF522A"/>
    <w:rsid w:val="00BF5CB8"/>
    <w:rsid w:val="00BF5DCF"/>
    <w:rsid w:val="00BF68AE"/>
    <w:rsid w:val="00BF7836"/>
    <w:rsid w:val="00C003EF"/>
    <w:rsid w:val="00C00515"/>
    <w:rsid w:val="00C013F8"/>
    <w:rsid w:val="00C01483"/>
    <w:rsid w:val="00C031D9"/>
    <w:rsid w:val="00C035AA"/>
    <w:rsid w:val="00C0485B"/>
    <w:rsid w:val="00C0651E"/>
    <w:rsid w:val="00C0661E"/>
    <w:rsid w:val="00C070C2"/>
    <w:rsid w:val="00C07543"/>
    <w:rsid w:val="00C1043C"/>
    <w:rsid w:val="00C11D4C"/>
    <w:rsid w:val="00C11F7D"/>
    <w:rsid w:val="00C1360C"/>
    <w:rsid w:val="00C14F93"/>
    <w:rsid w:val="00C154CC"/>
    <w:rsid w:val="00C16281"/>
    <w:rsid w:val="00C17AD0"/>
    <w:rsid w:val="00C17E87"/>
    <w:rsid w:val="00C20B20"/>
    <w:rsid w:val="00C20C9D"/>
    <w:rsid w:val="00C21C09"/>
    <w:rsid w:val="00C223C4"/>
    <w:rsid w:val="00C23B6B"/>
    <w:rsid w:val="00C257E7"/>
    <w:rsid w:val="00C27658"/>
    <w:rsid w:val="00C3077A"/>
    <w:rsid w:val="00C33912"/>
    <w:rsid w:val="00C343F0"/>
    <w:rsid w:val="00C3622B"/>
    <w:rsid w:val="00C36325"/>
    <w:rsid w:val="00C36378"/>
    <w:rsid w:val="00C375A8"/>
    <w:rsid w:val="00C37FB9"/>
    <w:rsid w:val="00C400E3"/>
    <w:rsid w:val="00C43E75"/>
    <w:rsid w:val="00C44434"/>
    <w:rsid w:val="00C447C1"/>
    <w:rsid w:val="00C4516C"/>
    <w:rsid w:val="00C45F31"/>
    <w:rsid w:val="00C4639C"/>
    <w:rsid w:val="00C4640C"/>
    <w:rsid w:val="00C47BC7"/>
    <w:rsid w:val="00C50701"/>
    <w:rsid w:val="00C509DD"/>
    <w:rsid w:val="00C50D1D"/>
    <w:rsid w:val="00C5128A"/>
    <w:rsid w:val="00C520D3"/>
    <w:rsid w:val="00C5498B"/>
    <w:rsid w:val="00C54D63"/>
    <w:rsid w:val="00C54E5D"/>
    <w:rsid w:val="00C578CD"/>
    <w:rsid w:val="00C61F8D"/>
    <w:rsid w:val="00C620E5"/>
    <w:rsid w:val="00C63415"/>
    <w:rsid w:val="00C639DD"/>
    <w:rsid w:val="00C6433F"/>
    <w:rsid w:val="00C64743"/>
    <w:rsid w:val="00C66E31"/>
    <w:rsid w:val="00C67086"/>
    <w:rsid w:val="00C672FC"/>
    <w:rsid w:val="00C708FD"/>
    <w:rsid w:val="00C711F1"/>
    <w:rsid w:val="00C72573"/>
    <w:rsid w:val="00C7348C"/>
    <w:rsid w:val="00C73A68"/>
    <w:rsid w:val="00C73FAA"/>
    <w:rsid w:val="00C745AB"/>
    <w:rsid w:val="00C75214"/>
    <w:rsid w:val="00C75DA4"/>
    <w:rsid w:val="00C76693"/>
    <w:rsid w:val="00C8298A"/>
    <w:rsid w:val="00C83D63"/>
    <w:rsid w:val="00C84450"/>
    <w:rsid w:val="00C849B8"/>
    <w:rsid w:val="00C85625"/>
    <w:rsid w:val="00C86552"/>
    <w:rsid w:val="00C8670B"/>
    <w:rsid w:val="00C91025"/>
    <w:rsid w:val="00C941F6"/>
    <w:rsid w:val="00C97B05"/>
    <w:rsid w:val="00CA05FA"/>
    <w:rsid w:val="00CA324F"/>
    <w:rsid w:val="00CA378C"/>
    <w:rsid w:val="00CA4B07"/>
    <w:rsid w:val="00CA4B1D"/>
    <w:rsid w:val="00CA4CB6"/>
    <w:rsid w:val="00CA57CE"/>
    <w:rsid w:val="00CA6828"/>
    <w:rsid w:val="00CA7CA4"/>
    <w:rsid w:val="00CB16D2"/>
    <w:rsid w:val="00CB22DA"/>
    <w:rsid w:val="00CB3D16"/>
    <w:rsid w:val="00CB4062"/>
    <w:rsid w:val="00CB40E3"/>
    <w:rsid w:val="00CB4B37"/>
    <w:rsid w:val="00CB689B"/>
    <w:rsid w:val="00CB68A1"/>
    <w:rsid w:val="00CB769A"/>
    <w:rsid w:val="00CB7E29"/>
    <w:rsid w:val="00CC013F"/>
    <w:rsid w:val="00CC1AB5"/>
    <w:rsid w:val="00CC4938"/>
    <w:rsid w:val="00CC4DED"/>
    <w:rsid w:val="00CC5C99"/>
    <w:rsid w:val="00CC698B"/>
    <w:rsid w:val="00CC6DE4"/>
    <w:rsid w:val="00CD080D"/>
    <w:rsid w:val="00CD192B"/>
    <w:rsid w:val="00CD1E58"/>
    <w:rsid w:val="00CD241F"/>
    <w:rsid w:val="00CD2571"/>
    <w:rsid w:val="00CD263C"/>
    <w:rsid w:val="00CD2C48"/>
    <w:rsid w:val="00CD3024"/>
    <w:rsid w:val="00CD5D19"/>
    <w:rsid w:val="00CD611B"/>
    <w:rsid w:val="00CD68D5"/>
    <w:rsid w:val="00CD69BB"/>
    <w:rsid w:val="00CD7B97"/>
    <w:rsid w:val="00CE00E4"/>
    <w:rsid w:val="00CE0BAE"/>
    <w:rsid w:val="00CE16AF"/>
    <w:rsid w:val="00CE1D2A"/>
    <w:rsid w:val="00CE44F8"/>
    <w:rsid w:val="00CE56DF"/>
    <w:rsid w:val="00CE6153"/>
    <w:rsid w:val="00CE65D2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37BF"/>
    <w:rsid w:val="00CF3FA5"/>
    <w:rsid w:val="00CF4553"/>
    <w:rsid w:val="00CF4795"/>
    <w:rsid w:val="00CF48BB"/>
    <w:rsid w:val="00CF4928"/>
    <w:rsid w:val="00CF7027"/>
    <w:rsid w:val="00CF7BFC"/>
    <w:rsid w:val="00CF7F1F"/>
    <w:rsid w:val="00D00690"/>
    <w:rsid w:val="00D00778"/>
    <w:rsid w:val="00D00A9C"/>
    <w:rsid w:val="00D0143E"/>
    <w:rsid w:val="00D02D41"/>
    <w:rsid w:val="00D031DB"/>
    <w:rsid w:val="00D03FBC"/>
    <w:rsid w:val="00D040D4"/>
    <w:rsid w:val="00D049C2"/>
    <w:rsid w:val="00D0619C"/>
    <w:rsid w:val="00D06C67"/>
    <w:rsid w:val="00D1103E"/>
    <w:rsid w:val="00D114F3"/>
    <w:rsid w:val="00D116C5"/>
    <w:rsid w:val="00D117CC"/>
    <w:rsid w:val="00D12283"/>
    <w:rsid w:val="00D12382"/>
    <w:rsid w:val="00D124F4"/>
    <w:rsid w:val="00D12F0A"/>
    <w:rsid w:val="00D130F1"/>
    <w:rsid w:val="00D15520"/>
    <w:rsid w:val="00D158FB"/>
    <w:rsid w:val="00D15C75"/>
    <w:rsid w:val="00D1785B"/>
    <w:rsid w:val="00D17864"/>
    <w:rsid w:val="00D20547"/>
    <w:rsid w:val="00D2072D"/>
    <w:rsid w:val="00D21214"/>
    <w:rsid w:val="00D22B58"/>
    <w:rsid w:val="00D22C18"/>
    <w:rsid w:val="00D22E06"/>
    <w:rsid w:val="00D236C5"/>
    <w:rsid w:val="00D24DC8"/>
    <w:rsid w:val="00D26459"/>
    <w:rsid w:val="00D272C2"/>
    <w:rsid w:val="00D27B81"/>
    <w:rsid w:val="00D27B92"/>
    <w:rsid w:val="00D27E2E"/>
    <w:rsid w:val="00D309C7"/>
    <w:rsid w:val="00D31C75"/>
    <w:rsid w:val="00D321EF"/>
    <w:rsid w:val="00D32DEC"/>
    <w:rsid w:val="00D33014"/>
    <w:rsid w:val="00D34E8F"/>
    <w:rsid w:val="00D351C1"/>
    <w:rsid w:val="00D36C0E"/>
    <w:rsid w:val="00D36F82"/>
    <w:rsid w:val="00D373FD"/>
    <w:rsid w:val="00D405B4"/>
    <w:rsid w:val="00D40F94"/>
    <w:rsid w:val="00D41C25"/>
    <w:rsid w:val="00D4243B"/>
    <w:rsid w:val="00D42BBC"/>
    <w:rsid w:val="00D43952"/>
    <w:rsid w:val="00D4483A"/>
    <w:rsid w:val="00D46025"/>
    <w:rsid w:val="00D461FD"/>
    <w:rsid w:val="00D46E92"/>
    <w:rsid w:val="00D479BC"/>
    <w:rsid w:val="00D50E84"/>
    <w:rsid w:val="00D5170C"/>
    <w:rsid w:val="00D52C2C"/>
    <w:rsid w:val="00D53E90"/>
    <w:rsid w:val="00D559A6"/>
    <w:rsid w:val="00D55B41"/>
    <w:rsid w:val="00D56107"/>
    <w:rsid w:val="00D61003"/>
    <w:rsid w:val="00D62166"/>
    <w:rsid w:val="00D64C49"/>
    <w:rsid w:val="00D653DB"/>
    <w:rsid w:val="00D656BE"/>
    <w:rsid w:val="00D65DF6"/>
    <w:rsid w:val="00D67131"/>
    <w:rsid w:val="00D72471"/>
    <w:rsid w:val="00D73A32"/>
    <w:rsid w:val="00D73D47"/>
    <w:rsid w:val="00D81284"/>
    <w:rsid w:val="00D8186F"/>
    <w:rsid w:val="00D82228"/>
    <w:rsid w:val="00D82990"/>
    <w:rsid w:val="00D837B7"/>
    <w:rsid w:val="00D83A2A"/>
    <w:rsid w:val="00D84B8E"/>
    <w:rsid w:val="00D902A9"/>
    <w:rsid w:val="00D9244D"/>
    <w:rsid w:val="00D92E3B"/>
    <w:rsid w:val="00D9342A"/>
    <w:rsid w:val="00D95580"/>
    <w:rsid w:val="00D9607D"/>
    <w:rsid w:val="00D96840"/>
    <w:rsid w:val="00D96EA0"/>
    <w:rsid w:val="00DA09E6"/>
    <w:rsid w:val="00DA11B8"/>
    <w:rsid w:val="00DA125A"/>
    <w:rsid w:val="00DA134E"/>
    <w:rsid w:val="00DA1437"/>
    <w:rsid w:val="00DA16BE"/>
    <w:rsid w:val="00DA26BE"/>
    <w:rsid w:val="00DA2862"/>
    <w:rsid w:val="00DA28B1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1087"/>
    <w:rsid w:val="00DB5184"/>
    <w:rsid w:val="00DB608E"/>
    <w:rsid w:val="00DB7134"/>
    <w:rsid w:val="00DB7850"/>
    <w:rsid w:val="00DB7E32"/>
    <w:rsid w:val="00DC279E"/>
    <w:rsid w:val="00DC3248"/>
    <w:rsid w:val="00DC343B"/>
    <w:rsid w:val="00DC4047"/>
    <w:rsid w:val="00DC74BE"/>
    <w:rsid w:val="00DC7624"/>
    <w:rsid w:val="00DD234D"/>
    <w:rsid w:val="00DD38EB"/>
    <w:rsid w:val="00DD3C5E"/>
    <w:rsid w:val="00DD4205"/>
    <w:rsid w:val="00DD45EF"/>
    <w:rsid w:val="00DD4F98"/>
    <w:rsid w:val="00DD5692"/>
    <w:rsid w:val="00DD5ABC"/>
    <w:rsid w:val="00DD5B9E"/>
    <w:rsid w:val="00DD63B1"/>
    <w:rsid w:val="00DD7566"/>
    <w:rsid w:val="00DE05C7"/>
    <w:rsid w:val="00DE2522"/>
    <w:rsid w:val="00DE2BA7"/>
    <w:rsid w:val="00DE3AC2"/>
    <w:rsid w:val="00DE3C52"/>
    <w:rsid w:val="00DE47B2"/>
    <w:rsid w:val="00DE72C8"/>
    <w:rsid w:val="00DF0786"/>
    <w:rsid w:val="00DF2E5A"/>
    <w:rsid w:val="00DF30D6"/>
    <w:rsid w:val="00DF311F"/>
    <w:rsid w:val="00DF4675"/>
    <w:rsid w:val="00DF54EA"/>
    <w:rsid w:val="00DF6A2A"/>
    <w:rsid w:val="00DF6A7E"/>
    <w:rsid w:val="00E00834"/>
    <w:rsid w:val="00E01BC4"/>
    <w:rsid w:val="00E029CF"/>
    <w:rsid w:val="00E03CE0"/>
    <w:rsid w:val="00E05C38"/>
    <w:rsid w:val="00E06A32"/>
    <w:rsid w:val="00E07D6A"/>
    <w:rsid w:val="00E10201"/>
    <w:rsid w:val="00E10416"/>
    <w:rsid w:val="00E10984"/>
    <w:rsid w:val="00E11654"/>
    <w:rsid w:val="00E11CF1"/>
    <w:rsid w:val="00E12A30"/>
    <w:rsid w:val="00E135D7"/>
    <w:rsid w:val="00E140A2"/>
    <w:rsid w:val="00E14A0A"/>
    <w:rsid w:val="00E15586"/>
    <w:rsid w:val="00E16528"/>
    <w:rsid w:val="00E2049A"/>
    <w:rsid w:val="00E20D9E"/>
    <w:rsid w:val="00E23302"/>
    <w:rsid w:val="00E24798"/>
    <w:rsid w:val="00E25988"/>
    <w:rsid w:val="00E25A62"/>
    <w:rsid w:val="00E25CCF"/>
    <w:rsid w:val="00E25F1F"/>
    <w:rsid w:val="00E26524"/>
    <w:rsid w:val="00E26B46"/>
    <w:rsid w:val="00E304CD"/>
    <w:rsid w:val="00E318E8"/>
    <w:rsid w:val="00E3374D"/>
    <w:rsid w:val="00E33987"/>
    <w:rsid w:val="00E35086"/>
    <w:rsid w:val="00E35C4B"/>
    <w:rsid w:val="00E36550"/>
    <w:rsid w:val="00E372D8"/>
    <w:rsid w:val="00E41B41"/>
    <w:rsid w:val="00E41BB2"/>
    <w:rsid w:val="00E4208E"/>
    <w:rsid w:val="00E43772"/>
    <w:rsid w:val="00E43E5F"/>
    <w:rsid w:val="00E44CD1"/>
    <w:rsid w:val="00E45515"/>
    <w:rsid w:val="00E45902"/>
    <w:rsid w:val="00E46A1E"/>
    <w:rsid w:val="00E50505"/>
    <w:rsid w:val="00E50B17"/>
    <w:rsid w:val="00E52B4A"/>
    <w:rsid w:val="00E52BF2"/>
    <w:rsid w:val="00E534B4"/>
    <w:rsid w:val="00E53693"/>
    <w:rsid w:val="00E5389B"/>
    <w:rsid w:val="00E540D7"/>
    <w:rsid w:val="00E553D9"/>
    <w:rsid w:val="00E55BAD"/>
    <w:rsid w:val="00E55DAC"/>
    <w:rsid w:val="00E56624"/>
    <w:rsid w:val="00E5725D"/>
    <w:rsid w:val="00E57CD7"/>
    <w:rsid w:val="00E6035E"/>
    <w:rsid w:val="00E62BCE"/>
    <w:rsid w:val="00E64398"/>
    <w:rsid w:val="00E657D4"/>
    <w:rsid w:val="00E65AA2"/>
    <w:rsid w:val="00E65D1F"/>
    <w:rsid w:val="00E666FE"/>
    <w:rsid w:val="00E66879"/>
    <w:rsid w:val="00E66AB9"/>
    <w:rsid w:val="00E67522"/>
    <w:rsid w:val="00E677B2"/>
    <w:rsid w:val="00E67A1F"/>
    <w:rsid w:val="00E67DA3"/>
    <w:rsid w:val="00E67E53"/>
    <w:rsid w:val="00E70ECB"/>
    <w:rsid w:val="00E715BA"/>
    <w:rsid w:val="00E71A06"/>
    <w:rsid w:val="00E731F9"/>
    <w:rsid w:val="00E739BE"/>
    <w:rsid w:val="00E73EA1"/>
    <w:rsid w:val="00E73FAD"/>
    <w:rsid w:val="00E74ED7"/>
    <w:rsid w:val="00E75268"/>
    <w:rsid w:val="00E7663B"/>
    <w:rsid w:val="00E76EA6"/>
    <w:rsid w:val="00E7761E"/>
    <w:rsid w:val="00E812BD"/>
    <w:rsid w:val="00E82470"/>
    <w:rsid w:val="00E831A8"/>
    <w:rsid w:val="00E831A9"/>
    <w:rsid w:val="00E8345E"/>
    <w:rsid w:val="00E83785"/>
    <w:rsid w:val="00E8687A"/>
    <w:rsid w:val="00E86B5A"/>
    <w:rsid w:val="00E86E38"/>
    <w:rsid w:val="00E8771F"/>
    <w:rsid w:val="00E90CCD"/>
    <w:rsid w:val="00E911EB"/>
    <w:rsid w:val="00E912F6"/>
    <w:rsid w:val="00E919ED"/>
    <w:rsid w:val="00E95752"/>
    <w:rsid w:val="00E96270"/>
    <w:rsid w:val="00EA08A7"/>
    <w:rsid w:val="00EA11E5"/>
    <w:rsid w:val="00EA1368"/>
    <w:rsid w:val="00EA1CE4"/>
    <w:rsid w:val="00EA1F86"/>
    <w:rsid w:val="00EA444D"/>
    <w:rsid w:val="00EA5DBB"/>
    <w:rsid w:val="00EA6039"/>
    <w:rsid w:val="00EA7018"/>
    <w:rsid w:val="00EA7257"/>
    <w:rsid w:val="00EA7637"/>
    <w:rsid w:val="00EA7B84"/>
    <w:rsid w:val="00EB08A3"/>
    <w:rsid w:val="00EB0F9B"/>
    <w:rsid w:val="00EB1364"/>
    <w:rsid w:val="00EB1729"/>
    <w:rsid w:val="00EB1D41"/>
    <w:rsid w:val="00EB30C1"/>
    <w:rsid w:val="00EB3AC1"/>
    <w:rsid w:val="00EB5456"/>
    <w:rsid w:val="00EB6560"/>
    <w:rsid w:val="00EB710C"/>
    <w:rsid w:val="00EB77F2"/>
    <w:rsid w:val="00EB7AAE"/>
    <w:rsid w:val="00EC1EEE"/>
    <w:rsid w:val="00EC3842"/>
    <w:rsid w:val="00EC4BEF"/>
    <w:rsid w:val="00EC6816"/>
    <w:rsid w:val="00EC6CD4"/>
    <w:rsid w:val="00EC7237"/>
    <w:rsid w:val="00EC7A80"/>
    <w:rsid w:val="00ED0895"/>
    <w:rsid w:val="00ED0FEA"/>
    <w:rsid w:val="00ED37AE"/>
    <w:rsid w:val="00ED4073"/>
    <w:rsid w:val="00ED5BD8"/>
    <w:rsid w:val="00EE0797"/>
    <w:rsid w:val="00EE2D5E"/>
    <w:rsid w:val="00EE3333"/>
    <w:rsid w:val="00EE42E2"/>
    <w:rsid w:val="00EE5CB3"/>
    <w:rsid w:val="00EE62FC"/>
    <w:rsid w:val="00EE751D"/>
    <w:rsid w:val="00EF07DB"/>
    <w:rsid w:val="00EF37A2"/>
    <w:rsid w:val="00EF3ED7"/>
    <w:rsid w:val="00EF42E0"/>
    <w:rsid w:val="00EF5B55"/>
    <w:rsid w:val="00F01888"/>
    <w:rsid w:val="00F01D5A"/>
    <w:rsid w:val="00F04111"/>
    <w:rsid w:val="00F04CE7"/>
    <w:rsid w:val="00F05377"/>
    <w:rsid w:val="00F05576"/>
    <w:rsid w:val="00F058EC"/>
    <w:rsid w:val="00F059D6"/>
    <w:rsid w:val="00F06150"/>
    <w:rsid w:val="00F06B1E"/>
    <w:rsid w:val="00F06B27"/>
    <w:rsid w:val="00F10096"/>
    <w:rsid w:val="00F10CD5"/>
    <w:rsid w:val="00F11977"/>
    <w:rsid w:val="00F11999"/>
    <w:rsid w:val="00F119DE"/>
    <w:rsid w:val="00F11F00"/>
    <w:rsid w:val="00F13CE5"/>
    <w:rsid w:val="00F14011"/>
    <w:rsid w:val="00F148DC"/>
    <w:rsid w:val="00F14DC1"/>
    <w:rsid w:val="00F15384"/>
    <w:rsid w:val="00F15F8B"/>
    <w:rsid w:val="00F17107"/>
    <w:rsid w:val="00F172A1"/>
    <w:rsid w:val="00F202A1"/>
    <w:rsid w:val="00F22620"/>
    <w:rsid w:val="00F22A6A"/>
    <w:rsid w:val="00F23A5F"/>
    <w:rsid w:val="00F24B38"/>
    <w:rsid w:val="00F24E2D"/>
    <w:rsid w:val="00F27EBD"/>
    <w:rsid w:val="00F321C4"/>
    <w:rsid w:val="00F34A0F"/>
    <w:rsid w:val="00F363C9"/>
    <w:rsid w:val="00F4236A"/>
    <w:rsid w:val="00F430B3"/>
    <w:rsid w:val="00F442E4"/>
    <w:rsid w:val="00F44A90"/>
    <w:rsid w:val="00F467D1"/>
    <w:rsid w:val="00F470C7"/>
    <w:rsid w:val="00F50B6F"/>
    <w:rsid w:val="00F51000"/>
    <w:rsid w:val="00F52F1A"/>
    <w:rsid w:val="00F53FDB"/>
    <w:rsid w:val="00F54FFF"/>
    <w:rsid w:val="00F5512B"/>
    <w:rsid w:val="00F574AF"/>
    <w:rsid w:val="00F57CFA"/>
    <w:rsid w:val="00F60873"/>
    <w:rsid w:val="00F61566"/>
    <w:rsid w:val="00F61D2F"/>
    <w:rsid w:val="00F63A25"/>
    <w:rsid w:val="00F63C80"/>
    <w:rsid w:val="00F6401E"/>
    <w:rsid w:val="00F650CA"/>
    <w:rsid w:val="00F65754"/>
    <w:rsid w:val="00F67CA2"/>
    <w:rsid w:val="00F710B1"/>
    <w:rsid w:val="00F71D89"/>
    <w:rsid w:val="00F71E2A"/>
    <w:rsid w:val="00F75644"/>
    <w:rsid w:val="00F75729"/>
    <w:rsid w:val="00F769B7"/>
    <w:rsid w:val="00F76D48"/>
    <w:rsid w:val="00F7728C"/>
    <w:rsid w:val="00F7796B"/>
    <w:rsid w:val="00F80597"/>
    <w:rsid w:val="00F81D75"/>
    <w:rsid w:val="00F8348B"/>
    <w:rsid w:val="00F837CF"/>
    <w:rsid w:val="00F83ADF"/>
    <w:rsid w:val="00F851A2"/>
    <w:rsid w:val="00F853F0"/>
    <w:rsid w:val="00F87744"/>
    <w:rsid w:val="00F90A58"/>
    <w:rsid w:val="00F90DDF"/>
    <w:rsid w:val="00F90DF5"/>
    <w:rsid w:val="00F91F85"/>
    <w:rsid w:val="00F937FA"/>
    <w:rsid w:val="00F938ED"/>
    <w:rsid w:val="00F940F7"/>
    <w:rsid w:val="00F942A1"/>
    <w:rsid w:val="00F943B7"/>
    <w:rsid w:val="00F94947"/>
    <w:rsid w:val="00F952FB"/>
    <w:rsid w:val="00F977FB"/>
    <w:rsid w:val="00FA1D12"/>
    <w:rsid w:val="00FA26F0"/>
    <w:rsid w:val="00FA430A"/>
    <w:rsid w:val="00FA4917"/>
    <w:rsid w:val="00FA529D"/>
    <w:rsid w:val="00FA5764"/>
    <w:rsid w:val="00FA5EF5"/>
    <w:rsid w:val="00FA76BC"/>
    <w:rsid w:val="00FB0776"/>
    <w:rsid w:val="00FB1C49"/>
    <w:rsid w:val="00FB1FF9"/>
    <w:rsid w:val="00FB292D"/>
    <w:rsid w:val="00FB41D2"/>
    <w:rsid w:val="00FB47B9"/>
    <w:rsid w:val="00FB6691"/>
    <w:rsid w:val="00FB68A2"/>
    <w:rsid w:val="00FB6906"/>
    <w:rsid w:val="00FB7A0F"/>
    <w:rsid w:val="00FC024C"/>
    <w:rsid w:val="00FC0E0F"/>
    <w:rsid w:val="00FC1ADB"/>
    <w:rsid w:val="00FC2D24"/>
    <w:rsid w:val="00FC5C99"/>
    <w:rsid w:val="00FC6FBB"/>
    <w:rsid w:val="00FC7924"/>
    <w:rsid w:val="00FD04D3"/>
    <w:rsid w:val="00FD073D"/>
    <w:rsid w:val="00FD0D06"/>
    <w:rsid w:val="00FD12B4"/>
    <w:rsid w:val="00FD3291"/>
    <w:rsid w:val="00FD39F3"/>
    <w:rsid w:val="00FD41A0"/>
    <w:rsid w:val="00FD42F1"/>
    <w:rsid w:val="00FD49C4"/>
    <w:rsid w:val="00FD4D2E"/>
    <w:rsid w:val="00FD63D8"/>
    <w:rsid w:val="00FD6ADA"/>
    <w:rsid w:val="00FD708B"/>
    <w:rsid w:val="00FD7D27"/>
    <w:rsid w:val="00FE00D3"/>
    <w:rsid w:val="00FE0382"/>
    <w:rsid w:val="00FE06E6"/>
    <w:rsid w:val="00FE1276"/>
    <w:rsid w:val="00FE2017"/>
    <w:rsid w:val="00FE221E"/>
    <w:rsid w:val="00FE2580"/>
    <w:rsid w:val="00FE2B34"/>
    <w:rsid w:val="00FE4125"/>
    <w:rsid w:val="00FE4CF8"/>
    <w:rsid w:val="00FE5D2B"/>
    <w:rsid w:val="00FE633B"/>
    <w:rsid w:val="00FE7336"/>
    <w:rsid w:val="00FE78E1"/>
    <w:rsid w:val="00FF01C2"/>
    <w:rsid w:val="00FF0370"/>
    <w:rsid w:val="00FF042C"/>
    <w:rsid w:val="00FF1D23"/>
    <w:rsid w:val="00FF22CF"/>
    <w:rsid w:val="00FF3814"/>
    <w:rsid w:val="00FF5B98"/>
    <w:rsid w:val="00FF5E09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100F75"/>
  <w15:docId w15:val="{08DC81F6-75DA-4B70-87BB-42030D0E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11B8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BodyTextIndent2">
    <w:name w:val="Body Text Indent 2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9"/>
      </w:numPr>
    </w:pPr>
  </w:style>
  <w:style w:type="character" w:customStyle="1" w:styleId="EgyiksemA">
    <w:name w:val="Egyik sem A"/>
    <w:rsid w:val="00611960"/>
  </w:style>
  <w:style w:type="paragraph" w:styleId="Nincstrkz">
    <w:name w:val="No Spacing"/>
    <w:uiPriority w:val="1"/>
    <w:qFormat/>
    <w:rsid w:val="004D1C09"/>
    <w:rPr>
      <w:sz w:val="24"/>
      <w:szCs w:val="24"/>
    </w:rPr>
  </w:style>
  <w:style w:type="character" w:styleId="Kiemels">
    <w:name w:val="Emphasis"/>
    <w:qFormat/>
    <w:rsid w:val="00033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0BC7-C7FF-4E61-AF95-D47ED4BF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4207</Words>
  <Characters>29033</Characters>
  <Application>Microsoft Office Word</Application>
  <DocSecurity>0</DocSecurity>
  <Lines>241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33174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Horváth Ildikó dr.</cp:lastModifiedBy>
  <cp:revision>2</cp:revision>
  <cp:lastPrinted>2024-01-16T09:20:00Z</cp:lastPrinted>
  <dcterms:created xsi:type="dcterms:W3CDTF">2024-01-23T08:41:00Z</dcterms:created>
  <dcterms:modified xsi:type="dcterms:W3CDTF">2024-01-23T08:41:00Z</dcterms:modified>
</cp:coreProperties>
</file>