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E56F" w14:textId="77777777" w:rsidR="00F05371" w:rsidRPr="006A013E" w:rsidRDefault="00F05371" w:rsidP="00F05371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1032C8D1" w14:textId="77777777" w:rsidR="00F05371" w:rsidRPr="006A013E" w:rsidRDefault="00F05371" w:rsidP="00F0537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30/2024. (I.24.) GJB számú határozat</w:t>
      </w:r>
    </w:p>
    <w:p w14:paraId="074EA636" w14:textId="77777777" w:rsidR="00F05371" w:rsidRPr="006A013E" w:rsidRDefault="00F05371" w:rsidP="00F05371">
      <w:pPr>
        <w:keepNext/>
        <w:jc w:val="both"/>
        <w:rPr>
          <w:rFonts w:asciiTheme="minorHAnsi" w:hAnsiTheme="minorHAnsi" w:cstheme="minorHAnsi"/>
          <w:szCs w:val="22"/>
        </w:rPr>
      </w:pPr>
    </w:p>
    <w:p w14:paraId="6F4B2681" w14:textId="77777777" w:rsidR="00F05371" w:rsidRPr="006A013E" w:rsidRDefault="00F05371" w:rsidP="00F05371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6A013E">
        <w:rPr>
          <w:rFonts w:asciiTheme="minorHAnsi" w:hAnsiTheme="minorHAnsi" w:cstheme="minorHAnsi"/>
          <w:spacing w:val="-3"/>
          <w:szCs w:val="22"/>
        </w:rPr>
        <w:t xml:space="preserve">A </w:t>
      </w:r>
      <w:r w:rsidRPr="006A013E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6A013E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6A013E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6A013E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6A013E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6A013E">
        <w:rPr>
          <w:rFonts w:ascii="Calibri" w:eastAsia="Calibri" w:hAnsi="Calibri" w:cs="Calibri"/>
          <w:szCs w:val="22"/>
          <w:lang w:eastAsia="en-US"/>
        </w:rPr>
        <w:t>szombathelyi 1006/7 hrsz.-ú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6A013E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2 db garázs megnevezésű (</w:t>
      </w:r>
      <w:r w:rsidRPr="006A013E">
        <w:rPr>
          <w:rFonts w:asciiTheme="minorHAnsi" w:hAnsiTheme="minorHAnsi" w:cstheme="minorHAnsi"/>
          <w:szCs w:val="22"/>
        </w:rPr>
        <w:t>1006/7/A/23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 hrsz.; 1006/7/A/28 hrsz.), és 2 db tároló megnevezésű (1006/7/A/32 hrsz.; 1006/7/A/39 hrsz.) önálló albetétjei vonatkozásában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6A013E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6A013E">
        <w:rPr>
          <w:rFonts w:ascii="Calibri" w:eastAsia="Calibri" w:hAnsi="Calibri" w:cs="Calibri"/>
          <w:szCs w:val="22"/>
          <w:lang w:eastAsia="en-US"/>
        </w:rPr>
        <w:t xml:space="preserve">. 7. § (2) bekezdés b) és 17. § d) pontjai, valamint a HÉSZ 62. § (7) bekezdése alapján „sport, szabadidő” biztosítása céljából - fennálló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6A013E">
        <w:rPr>
          <w:rFonts w:ascii="Calibri" w:eastAsia="Calibri" w:hAnsi="Calibri" w:cs="Calibri"/>
          <w:szCs w:val="22"/>
          <w:lang w:eastAsia="en-US"/>
        </w:rPr>
        <w:t>ne éljen.</w:t>
      </w:r>
    </w:p>
    <w:p w14:paraId="3111083E" w14:textId="77777777" w:rsidR="00F05371" w:rsidRPr="006A013E" w:rsidRDefault="00F05371" w:rsidP="00F05371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5760338" w14:textId="77777777" w:rsidR="00F05371" w:rsidRPr="006A013E" w:rsidRDefault="00F05371" w:rsidP="00F053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B666D3C" w14:textId="77777777" w:rsidR="00F05371" w:rsidRPr="006A013E" w:rsidRDefault="00F05371" w:rsidP="00F053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379743C" w14:textId="77777777" w:rsidR="00F05371" w:rsidRPr="006A013E" w:rsidRDefault="00F05371" w:rsidP="00F0537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56CE8AE" w14:textId="77777777" w:rsidR="00F05371" w:rsidRPr="006A013E" w:rsidRDefault="00F05371" w:rsidP="00F05371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6A013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4E272E9B" w14:textId="77777777" w:rsidR="00F05371" w:rsidRPr="006A013E" w:rsidRDefault="00F05371" w:rsidP="00F05371">
      <w:pPr>
        <w:jc w:val="both"/>
        <w:rPr>
          <w:rFonts w:asciiTheme="minorHAnsi" w:hAnsiTheme="minorHAnsi" w:cstheme="minorHAnsi"/>
          <w:szCs w:val="22"/>
        </w:rPr>
      </w:pPr>
    </w:p>
    <w:p w14:paraId="5033D084" w14:textId="77777777" w:rsidR="00F05371" w:rsidRPr="006A013E" w:rsidRDefault="00F05371" w:rsidP="00F05371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6ED33A7B" w14:textId="77777777" w:rsidR="00F05371" w:rsidRPr="006A013E" w:rsidRDefault="00F05371" w:rsidP="00F05371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B53BFC8" w14:textId="77777777" w:rsidR="00E46A00" w:rsidRDefault="00E46A00"/>
    <w:sectPr w:rsidR="00E46A00" w:rsidSect="00F05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71"/>
    <w:rsid w:val="00E46A00"/>
    <w:rsid w:val="00F0537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ED9E"/>
  <w15:chartTrackingRefBased/>
  <w15:docId w15:val="{5A2C610C-A000-4D77-96DA-7DB2873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537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034C2-3A07-48E7-A809-4457CCF20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6373D-4E7C-42AD-ACA0-B9EF11AC0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0F33-95E4-4D87-9525-B7685036BE6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2024-01-24T14:51:00Z</dcterms:created>
  <dcterms:modified xsi:type="dcterms:W3CDTF">2024-01-24T14:52:00Z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