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E730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5220414"/>
      <w:r>
        <w:rPr>
          <w:rFonts w:ascii="Times New Roman" w:hAnsi="Times New Roman" w:cs="Times New Roman"/>
          <w:b/>
          <w:sz w:val="32"/>
          <w:szCs w:val="32"/>
        </w:rPr>
        <w:t>VAS MEGYEI TEMETKEZÉSI KFT.</w:t>
      </w:r>
    </w:p>
    <w:p w14:paraId="7EE5FDFE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4DE625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SZOMBATHELY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  FERENCZY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I. U. 1.</w:t>
      </w:r>
    </w:p>
    <w:p w14:paraId="3F82F06F" w14:textId="77777777" w:rsidR="004C102D" w:rsidRDefault="004C102D" w:rsidP="004C102D">
      <w:pPr>
        <w:ind w:right="72"/>
        <w:rPr>
          <w:rFonts w:ascii="Times New Roman" w:hAnsi="Times New Roman" w:cs="Times New Roman"/>
          <w:b/>
          <w:sz w:val="32"/>
          <w:szCs w:val="32"/>
        </w:rPr>
      </w:pPr>
    </w:p>
    <w:p w14:paraId="1D4EA7BF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86008F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0544D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852FC0E" wp14:editId="529CA2D1">
            <wp:extent cx="1609725" cy="1228725"/>
            <wp:effectExtent l="0" t="0" r="9525" b="9525"/>
            <wp:docPr id="1" name="Kép 1" descr="VMTK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MTK-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EC9B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07DFF5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279857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0F63" w14:textId="77777777" w:rsidR="004C102D" w:rsidRDefault="004C102D" w:rsidP="004C102D">
      <w:pPr>
        <w:ind w:right="72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B6EAE8" w14:textId="05770FBD" w:rsidR="004C102D" w:rsidRDefault="00391DD6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VAGYON</w:t>
      </w:r>
      <w:r w:rsidR="004C102D">
        <w:rPr>
          <w:rFonts w:ascii="Times New Roman" w:hAnsi="Times New Roman" w:cs="Times New Roman"/>
          <w:b/>
          <w:sz w:val="32"/>
          <w:szCs w:val="32"/>
          <w:u w:val="single"/>
        </w:rPr>
        <w:t>ÉRTÉKESÍTÉSI SZABÁLYZAT</w:t>
      </w:r>
    </w:p>
    <w:p w14:paraId="285EAAFD" w14:textId="77777777" w:rsidR="004C102D" w:rsidRDefault="004C102D" w:rsidP="004C102D">
      <w:pPr>
        <w:ind w:right="7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2D2642E" w14:textId="77777777" w:rsidR="004C102D" w:rsidRDefault="004C102D" w:rsidP="004C102D">
      <w:pPr>
        <w:ind w:right="72"/>
        <w:jc w:val="center"/>
        <w:rPr>
          <w:b/>
          <w:sz w:val="32"/>
          <w:szCs w:val="32"/>
          <w:u w:val="single"/>
        </w:rPr>
      </w:pPr>
    </w:p>
    <w:p w14:paraId="6C5A225C" w14:textId="77777777" w:rsidR="004C102D" w:rsidRDefault="004C102D" w:rsidP="004C102D">
      <w:pPr>
        <w:ind w:right="72"/>
        <w:jc w:val="center"/>
        <w:rPr>
          <w:b/>
          <w:sz w:val="32"/>
          <w:szCs w:val="32"/>
          <w:u w:val="single"/>
        </w:rPr>
      </w:pPr>
    </w:p>
    <w:p w14:paraId="58E5019B" w14:textId="77777777" w:rsidR="004C102D" w:rsidRDefault="004C102D" w:rsidP="004C102D">
      <w:pPr>
        <w:ind w:right="72"/>
        <w:jc w:val="both"/>
        <w:rPr>
          <w:rFonts w:ascii="Fixedsys" w:hAnsi="Fixedsys"/>
          <w:b/>
          <w:sz w:val="28"/>
          <w:u w:val="single"/>
        </w:rPr>
      </w:pPr>
    </w:p>
    <w:p w14:paraId="647B7D95" w14:textId="77777777" w:rsidR="004C102D" w:rsidRDefault="004C102D" w:rsidP="004C102D">
      <w:pPr>
        <w:ind w:right="72"/>
        <w:jc w:val="both"/>
        <w:rPr>
          <w:rFonts w:ascii="Fixedsys" w:hAnsi="Fixedsys"/>
          <w:b/>
          <w:sz w:val="28"/>
          <w:u w:val="single"/>
        </w:rPr>
      </w:pPr>
    </w:p>
    <w:p w14:paraId="708DBB01" w14:textId="47CB797E" w:rsidR="004C102D" w:rsidRDefault="004C102D" w:rsidP="004C102D">
      <w:pPr>
        <w:ind w:right="7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</w:rPr>
        <w:t>Szombathely</w:t>
      </w:r>
      <w:r w:rsidRPr="00EA6638">
        <w:rPr>
          <w:rFonts w:ascii="Times New Roman" w:hAnsi="Times New Roman" w:cs="Times New Roman"/>
          <w:bCs/>
          <w:sz w:val="28"/>
        </w:rPr>
        <w:t>, 202</w:t>
      </w:r>
      <w:r w:rsidR="00C21A5B" w:rsidRPr="00EA6638">
        <w:rPr>
          <w:rFonts w:ascii="Times New Roman" w:hAnsi="Times New Roman" w:cs="Times New Roman"/>
          <w:bCs/>
          <w:sz w:val="28"/>
        </w:rPr>
        <w:t>4</w:t>
      </w:r>
      <w:r w:rsidRPr="00EA6638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14:paraId="084C1B90" w14:textId="77777777" w:rsidR="004C102D" w:rsidRDefault="004C102D" w:rsidP="004C102D">
      <w:pPr>
        <w:rPr>
          <w:rFonts w:ascii="Algerian" w:hAnsi="Algerian"/>
          <w:i/>
          <w:sz w:val="28"/>
        </w:rPr>
      </w:pPr>
    </w:p>
    <w:p w14:paraId="6ACA2313" w14:textId="77777777" w:rsidR="004C102D" w:rsidRDefault="004C102D" w:rsidP="004C102D">
      <w:pPr>
        <w:rPr>
          <w:rFonts w:ascii="Times New Roman" w:hAnsi="Times New Roman" w:cs="Times New Roman"/>
          <w:i/>
          <w:sz w:val="28"/>
        </w:rPr>
      </w:pPr>
    </w:p>
    <w:p w14:paraId="67B07FD8" w14:textId="77777777" w:rsidR="004C102D" w:rsidRDefault="004C102D" w:rsidP="004C10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______________________</w:t>
      </w:r>
    </w:p>
    <w:p w14:paraId="792569B1" w14:textId="77777777" w:rsidR="004C102D" w:rsidRDefault="004C102D" w:rsidP="004C10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>ügyvezető</w:t>
      </w:r>
      <w:bookmarkEnd w:id="0"/>
      <w:proofErr w:type="gramEnd"/>
    </w:p>
    <w:p w14:paraId="3AED0296" w14:textId="77777777" w:rsidR="004C102D" w:rsidRDefault="004C102D"/>
    <w:p w14:paraId="7BBA244B" w14:textId="77777777" w:rsidR="004C102D" w:rsidRDefault="004C102D"/>
    <w:p w14:paraId="3B9C62E2" w14:textId="7CC27048" w:rsidR="004C102D" w:rsidRPr="00554B29" w:rsidRDefault="004C102D" w:rsidP="00DC212A">
      <w:pPr>
        <w:pStyle w:val="Listaszerbekezds"/>
        <w:numPr>
          <w:ilvl w:val="0"/>
          <w:numId w:val="2"/>
        </w:numPr>
        <w:ind w:left="851" w:hanging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szabályzat célja</w:t>
      </w:r>
    </w:p>
    <w:p w14:paraId="7B3C3FDB" w14:textId="77777777" w:rsidR="00E83E95" w:rsidRPr="00554B29" w:rsidRDefault="00E83E95" w:rsidP="00E83E9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BAE75B7" w14:textId="784B6F60" w:rsidR="00F040DB" w:rsidRPr="00554B29" w:rsidRDefault="00F040DB" w:rsidP="00E83E95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sz w:val="24"/>
          <w:szCs w:val="24"/>
        </w:rPr>
        <w:t xml:space="preserve">A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Vas Megyei Temetkezési Kft</w:t>
      </w:r>
      <w:r w:rsidRPr="00554B29">
        <w:rPr>
          <w:rFonts w:ascii="Times New Roman" w:hAnsi="Times New Roman" w:cs="Times New Roman"/>
          <w:sz w:val="24"/>
          <w:szCs w:val="24"/>
        </w:rPr>
        <w:t>.</w:t>
      </w:r>
      <w:r w:rsidR="004C102D" w:rsidRPr="00554B29">
        <w:rPr>
          <w:rFonts w:ascii="Times New Roman" w:hAnsi="Times New Roman" w:cs="Times New Roman"/>
          <w:sz w:val="24"/>
          <w:szCs w:val="24"/>
        </w:rPr>
        <w:t xml:space="preserve"> </w:t>
      </w:r>
      <w:r w:rsidR="00E83E95" w:rsidRPr="00554B29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7F1923">
        <w:rPr>
          <w:rFonts w:ascii="Times New Roman" w:hAnsi="Times New Roman" w:cs="Times New Roman"/>
          <w:sz w:val="24"/>
          <w:szCs w:val="24"/>
        </w:rPr>
        <w:t>T</w:t>
      </w:r>
      <w:r w:rsidR="00E83E95" w:rsidRPr="00554B29">
        <w:rPr>
          <w:rFonts w:ascii="Times New Roman" w:hAnsi="Times New Roman" w:cs="Times New Roman"/>
          <w:sz w:val="24"/>
          <w:szCs w:val="24"/>
        </w:rPr>
        <w:t>ársaság</w:t>
      </w:r>
      <w:r w:rsidR="004A2C4E">
        <w:rPr>
          <w:rFonts w:ascii="Times New Roman" w:hAnsi="Times New Roman" w:cs="Times New Roman"/>
          <w:sz w:val="24"/>
          <w:szCs w:val="24"/>
        </w:rPr>
        <w:t xml:space="preserve">) </w:t>
      </w:r>
      <w:r w:rsidR="004C102D" w:rsidRPr="00554B29">
        <w:rPr>
          <w:rFonts w:ascii="Times New Roman" w:hAnsi="Times New Roman" w:cs="Times New Roman"/>
          <w:sz w:val="24"/>
          <w:szCs w:val="24"/>
        </w:rPr>
        <w:t>vagyonértékesítési tevékenységének szabályozása annak</w:t>
      </w:r>
      <w:r w:rsidR="00E83E95" w:rsidRPr="00554B29">
        <w:rPr>
          <w:rFonts w:ascii="Times New Roman" w:hAnsi="Times New Roman" w:cs="Times New Roman"/>
          <w:sz w:val="24"/>
          <w:szCs w:val="24"/>
        </w:rPr>
        <w:t xml:space="preserve"> </w:t>
      </w:r>
      <w:r w:rsidR="004C102D" w:rsidRPr="00554B29">
        <w:rPr>
          <w:rFonts w:ascii="Times New Roman" w:hAnsi="Times New Roman" w:cs="Times New Roman"/>
          <w:sz w:val="24"/>
          <w:szCs w:val="24"/>
        </w:rPr>
        <w:t>érdekében, hogy a tulajdonában lévő felesleges vagyonelemek</w:t>
      </w:r>
      <w:r w:rsidR="00E83E95" w:rsidRPr="00554B29">
        <w:rPr>
          <w:rFonts w:ascii="Times New Roman" w:hAnsi="Times New Roman" w:cs="Times New Roman"/>
          <w:sz w:val="24"/>
          <w:szCs w:val="24"/>
        </w:rPr>
        <w:t xml:space="preserve"> </w:t>
      </w:r>
      <w:r w:rsidR="004C102D" w:rsidRPr="00554B29">
        <w:rPr>
          <w:rFonts w:ascii="Times New Roman" w:hAnsi="Times New Roman" w:cs="Times New Roman"/>
          <w:sz w:val="24"/>
          <w:szCs w:val="24"/>
        </w:rPr>
        <w:t>értékesítése a jogszabályoknak megfelelően és</w:t>
      </w:r>
      <w:r w:rsidR="00E83E95" w:rsidRPr="00554B29">
        <w:rPr>
          <w:rFonts w:ascii="Times New Roman" w:hAnsi="Times New Roman" w:cs="Times New Roman"/>
          <w:sz w:val="24"/>
          <w:szCs w:val="24"/>
        </w:rPr>
        <w:t xml:space="preserve"> </w:t>
      </w:r>
      <w:r w:rsidR="004C102D" w:rsidRPr="00554B29">
        <w:rPr>
          <w:rFonts w:ascii="Times New Roman" w:hAnsi="Times New Roman" w:cs="Times New Roman"/>
          <w:sz w:val="24"/>
          <w:szCs w:val="24"/>
        </w:rPr>
        <w:t>gazdaságosan történjen.</w:t>
      </w:r>
    </w:p>
    <w:p w14:paraId="48BA9F16" w14:textId="77777777" w:rsidR="00F040DB" w:rsidRPr="00554B29" w:rsidRDefault="00F040DB" w:rsidP="004C102D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</w:p>
    <w:p w14:paraId="52799753" w14:textId="77777777" w:rsidR="00E83E95" w:rsidRPr="00554B29" w:rsidRDefault="00E83E95" w:rsidP="004C102D">
      <w:pPr>
        <w:pStyle w:val="Listaszerbekezds"/>
        <w:ind w:left="1110"/>
        <w:rPr>
          <w:rFonts w:ascii="Times New Roman" w:hAnsi="Times New Roman" w:cs="Times New Roman"/>
          <w:sz w:val="6"/>
          <w:szCs w:val="6"/>
        </w:rPr>
      </w:pPr>
    </w:p>
    <w:p w14:paraId="22DC7309" w14:textId="4CEB19EE" w:rsidR="00F040DB" w:rsidRPr="00554B29" w:rsidRDefault="004C102D" w:rsidP="00DC212A">
      <w:pPr>
        <w:pStyle w:val="Listaszerbekezds"/>
        <w:numPr>
          <w:ilvl w:val="0"/>
          <w:numId w:val="2"/>
        </w:numPr>
        <w:ind w:left="851" w:hanging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Jogszabályi háttér</w:t>
      </w:r>
    </w:p>
    <w:p w14:paraId="611C3CB6" w14:textId="77777777" w:rsidR="00E83E95" w:rsidRPr="00554B29" w:rsidRDefault="00E83E95" w:rsidP="00E83E95">
      <w:pPr>
        <w:pStyle w:val="Listaszerbekezds"/>
        <w:ind w:left="851"/>
        <w:rPr>
          <w:rFonts w:ascii="Times New Roman" w:hAnsi="Times New Roman" w:cs="Times New Roman"/>
          <w:sz w:val="24"/>
          <w:szCs w:val="24"/>
        </w:rPr>
      </w:pPr>
    </w:p>
    <w:p w14:paraId="58F22F22" w14:textId="00FCB974" w:rsidR="00E83E95" w:rsidRPr="00554B29" w:rsidRDefault="00391DD6" w:rsidP="00E83E95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1923">
        <w:rPr>
          <w:rFonts w:ascii="Times New Roman" w:hAnsi="Times New Roman" w:cs="Times New Roman"/>
          <w:sz w:val="24"/>
          <w:szCs w:val="24"/>
        </w:rPr>
        <w:t>A jelen Szabályzat a Szombathely Megyei Jogú Város Önkormányzata</w:t>
      </w:r>
      <w:r w:rsidR="004A2C4E" w:rsidRPr="007F1923">
        <w:rPr>
          <w:rFonts w:ascii="Times New Roman" w:hAnsi="Times New Roman" w:cs="Times New Roman"/>
          <w:sz w:val="24"/>
          <w:szCs w:val="24"/>
        </w:rPr>
        <w:t xml:space="preserve"> </w:t>
      </w:r>
      <w:r w:rsidR="004A2C4E" w:rsidRPr="00EA6638">
        <w:rPr>
          <w:rFonts w:ascii="Times New Roman" w:hAnsi="Times New Roman" w:cs="Times New Roman"/>
          <w:bCs/>
          <w:sz w:val="24"/>
          <w:szCs w:val="24"/>
        </w:rPr>
        <w:t>vagyonáról szóló</w:t>
      </w:r>
      <w:r w:rsidRPr="00EA6638">
        <w:rPr>
          <w:rFonts w:ascii="Times New Roman" w:hAnsi="Times New Roman" w:cs="Times New Roman"/>
          <w:sz w:val="24"/>
          <w:szCs w:val="24"/>
        </w:rPr>
        <w:t xml:space="preserve"> 40/2014. (XII.23) önkormányzati rendeletben foglaltakra figyelem</w:t>
      </w:r>
      <w:r w:rsidRPr="007F1923">
        <w:rPr>
          <w:rFonts w:ascii="Times New Roman" w:hAnsi="Times New Roman" w:cs="Times New Roman"/>
          <w:sz w:val="24"/>
          <w:szCs w:val="24"/>
        </w:rPr>
        <w:t xml:space="preserve">mel </w:t>
      </w:r>
      <w:r w:rsidR="004C102D" w:rsidRPr="007F1923">
        <w:rPr>
          <w:rFonts w:ascii="Times New Roman" w:hAnsi="Times New Roman" w:cs="Times New Roman"/>
          <w:sz w:val="24"/>
          <w:szCs w:val="24"/>
        </w:rPr>
        <w:t>került megalkotásra.</w:t>
      </w:r>
    </w:p>
    <w:p w14:paraId="52BD282A" w14:textId="77777777" w:rsidR="00E83E95" w:rsidRPr="00554B29" w:rsidRDefault="00E83E95" w:rsidP="00E83E95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697A496" w14:textId="77777777" w:rsidR="00E83E95" w:rsidRPr="00554B29" w:rsidRDefault="00E83E95" w:rsidP="00E83E95">
      <w:pPr>
        <w:pStyle w:val="Listaszerbekezds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14:paraId="64A7DE70" w14:textId="0D5D69FA" w:rsidR="00386D7B" w:rsidRPr="00554B29" w:rsidRDefault="004C102D" w:rsidP="00DC212A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Szabályzat hatálya</w:t>
      </w:r>
    </w:p>
    <w:p w14:paraId="2B1DF25F" w14:textId="77777777" w:rsidR="00E83E95" w:rsidRPr="00554B29" w:rsidRDefault="00E83E95" w:rsidP="00E83E95">
      <w:pPr>
        <w:pStyle w:val="Listaszerbekezds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14:paraId="71E1232C" w14:textId="4554AA83" w:rsidR="00386D7B" w:rsidRPr="00554B29" w:rsidRDefault="004C102D" w:rsidP="00E83E95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sz w:val="24"/>
          <w:szCs w:val="24"/>
        </w:rPr>
        <w:t>3.1. A Szabályzat tárgyi hatálya</w:t>
      </w:r>
    </w:p>
    <w:p w14:paraId="762DB88A" w14:textId="77777777" w:rsidR="00386D7B" w:rsidRPr="00554B29" w:rsidRDefault="00386D7B" w:rsidP="00F040DB">
      <w:pPr>
        <w:pStyle w:val="Listaszerbekezds"/>
        <w:ind w:left="1110"/>
        <w:rPr>
          <w:rFonts w:ascii="Times New Roman" w:hAnsi="Times New Roman" w:cs="Times New Roman"/>
          <w:sz w:val="4"/>
          <w:szCs w:val="4"/>
        </w:rPr>
      </w:pPr>
    </w:p>
    <w:p w14:paraId="5F67FD91" w14:textId="3F631673" w:rsidR="00386D7B" w:rsidRPr="00554B29" w:rsidRDefault="004C102D" w:rsidP="00D546CC">
      <w:pPr>
        <w:pStyle w:val="Listaszerbekezds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sz w:val="24"/>
          <w:szCs w:val="24"/>
        </w:rPr>
        <w:t xml:space="preserve">(1) A Szabályzat hatálya </w:t>
      </w:r>
      <w:r w:rsidR="00386D7B" w:rsidRPr="00554B29">
        <w:rPr>
          <w:rFonts w:ascii="Times New Roman" w:hAnsi="Times New Roman" w:cs="Times New Roman"/>
          <w:sz w:val="24"/>
          <w:szCs w:val="24"/>
        </w:rPr>
        <w:t>a Vas Megyei Temetkezési Kft.</w:t>
      </w:r>
      <w:r w:rsidR="00A95C88">
        <w:rPr>
          <w:rFonts w:ascii="Times New Roman" w:hAnsi="Times New Roman" w:cs="Times New Roman"/>
          <w:sz w:val="24"/>
          <w:szCs w:val="24"/>
        </w:rPr>
        <w:t xml:space="preserve"> </w:t>
      </w:r>
      <w:r w:rsidR="00A95C88" w:rsidRPr="00EA6638">
        <w:rPr>
          <w:rFonts w:ascii="Times New Roman" w:hAnsi="Times New Roman" w:cs="Times New Roman"/>
          <w:bCs/>
          <w:sz w:val="24"/>
          <w:szCs w:val="24"/>
        </w:rPr>
        <w:t>tulajdonában lévő</w:t>
      </w:r>
      <w:r w:rsidRPr="00554B29">
        <w:rPr>
          <w:rFonts w:ascii="Times New Roman" w:hAnsi="Times New Roman" w:cs="Times New Roman"/>
          <w:sz w:val="24"/>
          <w:szCs w:val="24"/>
        </w:rPr>
        <w:t xml:space="preserve"> </w:t>
      </w:r>
      <w:r w:rsidRPr="009048E6">
        <w:rPr>
          <w:rFonts w:ascii="Times New Roman" w:hAnsi="Times New Roman" w:cs="Times New Roman"/>
          <w:sz w:val="24"/>
          <w:szCs w:val="24"/>
        </w:rPr>
        <w:t>ingó-</w:t>
      </w:r>
      <w:r w:rsidRPr="00A95C88">
        <w:rPr>
          <w:rFonts w:ascii="Times New Roman" w:hAnsi="Times New Roman" w:cs="Times New Roman"/>
          <w:sz w:val="24"/>
          <w:szCs w:val="24"/>
        </w:rPr>
        <w:t xml:space="preserve"> és ingatlan-</w:t>
      </w:r>
      <w:r w:rsidRPr="00554B29">
        <w:rPr>
          <w:rFonts w:ascii="Times New Roman" w:hAnsi="Times New Roman" w:cs="Times New Roman"/>
          <w:sz w:val="24"/>
          <w:szCs w:val="24"/>
        </w:rPr>
        <w:t xml:space="preserve">, továbbá immateriális vagyonelemek értékesítésével kapcsolatos eljárásokra, jogügyletekre terjed ki. </w:t>
      </w:r>
    </w:p>
    <w:p w14:paraId="0C61683F" w14:textId="77777777" w:rsidR="00386D7B" w:rsidRPr="00554B29" w:rsidRDefault="00386D7B" w:rsidP="00D546CC">
      <w:pPr>
        <w:pStyle w:val="Listaszerbekezds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14:paraId="395595C8" w14:textId="6400A79F" w:rsidR="009437F7" w:rsidRPr="00554B29" w:rsidRDefault="004C102D" w:rsidP="00D546CC">
      <w:pPr>
        <w:pStyle w:val="Listaszerbekezds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sz w:val="24"/>
          <w:szCs w:val="24"/>
        </w:rPr>
        <w:t>(2) A Szabályzat hatálya nem terjed ki</w:t>
      </w:r>
      <w:r w:rsidR="00386D7B" w:rsidRPr="00554B29">
        <w:rPr>
          <w:rFonts w:ascii="Times New Roman" w:hAnsi="Times New Roman" w:cs="Times New Roman"/>
          <w:sz w:val="24"/>
          <w:szCs w:val="24"/>
        </w:rPr>
        <w:t xml:space="preserve"> a Vas Megyei Temetkezési Kft.</w:t>
      </w:r>
      <w:r w:rsidR="00C21A5B">
        <w:rPr>
          <w:rFonts w:ascii="Times New Roman" w:hAnsi="Times New Roman" w:cs="Times New Roman"/>
          <w:sz w:val="24"/>
          <w:szCs w:val="24"/>
        </w:rPr>
        <w:t xml:space="preserve"> által</w:t>
      </w:r>
      <w:r w:rsidRPr="00554B29">
        <w:rPr>
          <w:rFonts w:ascii="Times New Roman" w:hAnsi="Times New Roman" w:cs="Times New Roman"/>
          <w:sz w:val="24"/>
          <w:szCs w:val="24"/>
        </w:rPr>
        <w:t xml:space="preserve"> készletezés céljából beszerzett anyagokra, készletekre.</w:t>
      </w:r>
    </w:p>
    <w:p w14:paraId="30F398FE" w14:textId="77777777" w:rsidR="009437F7" w:rsidRPr="00554B29" w:rsidRDefault="009437F7" w:rsidP="00D546CC">
      <w:pPr>
        <w:pStyle w:val="Listaszerbekezds"/>
        <w:ind w:left="1110"/>
        <w:jc w:val="both"/>
        <w:rPr>
          <w:rFonts w:ascii="Times New Roman" w:hAnsi="Times New Roman" w:cs="Times New Roman"/>
          <w:sz w:val="14"/>
          <w:szCs w:val="14"/>
        </w:rPr>
      </w:pPr>
    </w:p>
    <w:p w14:paraId="5C84E061" w14:textId="10CDF325" w:rsidR="009437F7" w:rsidRPr="00554B29" w:rsidRDefault="00E83E95" w:rsidP="00E83E95">
      <w:pPr>
        <w:ind w:left="851" w:firstLine="24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sz w:val="24"/>
          <w:szCs w:val="24"/>
        </w:rPr>
        <w:t>3</w:t>
      </w:r>
      <w:r w:rsidR="004C102D" w:rsidRPr="00554B29">
        <w:rPr>
          <w:rFonts w:ascii="Times New Roman" w:hAnsi="Times New Roman" w:cs="Times New Roman"/>
          <w:sz w:val="24"/>
          <w:szCs w:val="24"/>
        </w:rPr>
        <w:t>.2. A Szabályzat személyi hatálya</w:t>
      </w:r>
    </w:p>
    <w:p w14:paraId="2D93D278" w14:textId="77777777" w:rsidR="00E83E95" w:rsidRPr="00554B29" w:rsidRDefault="004C102D" w:rsidP="00E83E95">
      <w:pPr>
        <w:pStyle w:val="Listaszerbekezds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sz w:val="24"/>
          <w:szCs w:val="24"/>
        </w:rPr>
        <w:t xml:space="preserve">A Szabályzat hatálya </w:t>
      </w:r>
      <w:r w:rsidR="009437F7" w:rsidRPr="00554B29">
        <w:rPr>
          <w:rFonts w:ascii="Times New Roman" w:hAnsi="Times New Roman" w:cs="Times New Roman"/>
          <w:sz w:val="24"/>
          <w:szCs w:val="24"/>
        </w:rPr>
        <w:t xml:space="preserve">a Vas Megyei Temetkezési </w:t>
      </w:r>
      <w:proofErr w:type="spellStart"/>
      <w:r w:rsidR="009437F7" w:rsidRPr="00554B29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554B29">
        <w:rPr>
          <w:rFonts w:ascii="Times New Roman" w:hAnsi="Times New Roman" w:cs="Times New Roman"/>
          <w:sz w:val="24"/>
          <w:szCs w:val="24"/>
        </w:rPr>
        <w:t xml:space="preserve"> foglalkoztatási jogviszonyban álló személyekre terjed ki.</w:t>
      </w:r>
    </w:p>
    <w:p w14:paraId="1DB8E8A9" w14:textId="77777777" w:rsidR="00E83E95" w:rsidRPr="00554B29" w:rsidRDefault="00E83E95" w:rsidP="00E83E95">
      <w:pPr>
        <w:pStyle w:val="Listaszerbekezds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14:paraId="1A7F52D8" w14:textId="77777777" w:rsidR="00E83E95" w:rsidRPr="00554B29" w:rsidRDefault="00E83E95" w:rsidP="00E83E95">
      <w:pPr>
        <w:pStyle w:val="Listaszerbekezds"/>
        <w:ind w:left="1110"/>
        <w:jc w:val="both"/>
        <w:rPr>
          <w:rFonts w:ascii="Times New Roman" w:hAnsi="Times New Roman" w:cs="Times New Roman"/>
          <w:sz w:val="6"/>
          <w:szCs w:val="6"/>
        </w:rPr>
      </w:pPr>
    </w:p>
    <w:p w14:paraId="0F63CF52" w14:textId="2B98A98A" w:rsidR="00DC212A" w:rsidRPr="00554B29" w:rsidRDefault="004C102D" w:rsidP="00DC212A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Fogalmak </w:t>
      </w:r>
    </w:p>
    <w:p w14:paraId="641CA932" w14:textId="77777777" w:rsidR="00DC212A" w:rsidRPr="00554B29" w:rsidRDefault="00DC212A" w:rsidP="00DC212A">
      <w:pPr>
        <w:pStyle w:val="Listaszerbekezds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BBBE09" w14:textId="21E974F6" w:rsidR="0065150F" w:rsidRPr="00554B29" w:rsidRDefault="004C102D" w:rsidP="00DC212A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Ellenérték</w:t>
      </w:r>
      <w:proofErr w:type="gramStart"/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554B29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54B29">
        <w:rPr>
          <w:rFonts w:ascii="Times New Roman" w:hAnsi="Times New Roman" w:cs="Times New Roman"/>
          <w:sz w:val="24"/>
          <w:szCs w:val="24"/>
        </w:rPr>
        <w:t xml:space="preserve"> vagyontárgy értékesítésére irányuló szerződésben a tulajdonjog átruházásáért fizetendő pénzösszeg, pénzben kifejezett értékű tevékenység, vagy más szolgáltatás, illetve más vagyontárgy átruházása;</w:t>
      </w:r>
    </w:p>
    <w:p w14:paraId="28BAD0D0" w14:textId="77777777" w:rsidR="0065150F" w:rsidRPr="00554B29" w:rsidRDefault="0065150F" w:rsidP="00DC212A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0A5DBEE0" w14:textId="77777777" w:rsidR="0065150F" w:rsidRPr="00554B29" w:rsidRDefault="004C102D" w:rsidP="00DC212A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Értékesítés</w:t>
      </w:r>
      <w:proofErr w:type="gramStart"/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554B29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54B29">
        <w:rPr>
          <w:rFonts w:ascii="Times New Roman" w:hAnsi="Times New Roman" w:cs="Times New Roman"/>
          <w:sz w:val="24"/>
          <w:szCs w:val="24"/>
        </w:rPr>
        <w:t xml:space="preserve"> vagyontárgy tulajdonjogának bármely jogcímen történő, visszterhes átruházása;</w:t>
      </w:r>
    </w:p>
    <w:p w14:paraId="304EB57C" w14:textId="56952B9D" w:rsidR="002913CA" w:rsidRPr="00554B29" w:rsidRDefault="004C102D" w:rsidP="00DC212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Felesleges vagyontárgy:</w:t>
      </w:r>
      <w:r w:rsidRPr="00554B29">
        <w:rPr>
          <w:rFonts w:ascii="Times New Roman" w:hAnsi="Times New Roman" w:cs="Times New Roman"/>
          <w:sz w:val="24"/>
          <w:szCs w:val="24"/>
        </w:rPr>
        <w:t xml:space="preserve"> Jelen szabályozás szempontjából felesleges vagyontárgynak kell tekinteni mindazokat a tárgyi eszközöket és készleteket, amelyek a</w:t>
      </w:r>
      <w:r w:rsidR="002913CA" w:rsidRPr="00554B29">
        <w:rPr>
          <w:rFonts w:ascii="Times New Roman" w:hAnsi="Times New Roman" w:cs="Times New Roman"/>
          <w:sz w:val="24"/>
          <w:szCs w:val="24"/>
        </w:rPr>
        <w:t xml:space="preserve"> Társaság</w:t>
      </w:r>
      <w:r w:rsidRPr="00554B29">
        <w:rPr>
          <w:rFonts w:ascii="Times New Roman" w:hAnsi="Times New Roman" w:cs="Times New Roman"/>
          <w:sz w:val="24"/>
          <w:szCs w:val="24"/>
        </w:rPr>
        <w:t xml:space="preserve"> tevékenységéhez, működéséhez már nem szükségesek;</w:t>
      </w:r>
    </w:p>
    <w:p w14:paraId="252918A4" w14:textId="77777777" w:rsidR="002913CA" w:rsidRPr="00554B29" w:rsidRDefault="004C102D" w:rsidP="00DC212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Immateriális javak:</w:t>
      </w:r>
      <w:r w:rsidRPr="00554B29">
        <w:rPr>
          <w:rFonts w:ascii="Times New Roman" w:hAnsi="Times New Roman" w:cs="Times New Roman"/>
          <w:sz w:val="24"/>
          <w:szCs w:val="24"/>
        </w:rPr>
        <w:t xml:space="preserve"> A nem anyagi (kézzel nem fogható) dolgok, forgalomképes jogok, szellemi termékek;</w:t>
      </w:r>
    </w:p>
    <w:p w14:paraId="2415BB1C" w14:textId="57611D48" w:rsidR="00DC212A" w:rsidRPr="00554B29" w:rsidRDefault="004C102D" w:rsidP="00554B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Vagyon:</w:t>
      </w:r>
      <w:r w:rsidR="00100E6D">
        <w:rPr>
          <w:rFonts w:ascii="Times New Roman" w:hAnsi="Times New Roman" w:cs="Times New Roman"/>
          <w:sz w:val="24"/>
          <w:szCs w:val="24"/>
        </w:rPr>
        <w:t xml:space="preserve"> </w:t>
      </w:r>
      <w:r w:rsidRPr="000D0432">
        <w:rPr>
          <w:rFonts w:ascii="Times New Roman" w:hAnsi="Times New Roman" w:cs="Times New Roman"/>
          <w:sz w:val="24"/>
          <w:szCs w:val="24"/>
        </w:rPr>
        <w:t>A</w:t>
      </w:r>
      <w:r w:rsidR="002913CA" w:rsidRPr="000D0432">
        <w:rPr>
          <w:rFonts w:ascii="Times New Roman" w:hAnsi="Times New Roman" w:cs="Times New Roman"/>
          <w:sz w:val="24"/>
          <w:szCs w:val="24"/>
        </w:rPr>
        <w:t xml:space="preserve"> </w:t>
      </w:r>
      <w:r w:rsidR="002913CA" w:rsidRPr="00EA6638">
        <w:rPr>
          <w:rFonts w:ascii="Times New Roman" w:hAnsi="Times New Roman" w:cs="Times New Roman"/>
          <w:sz w:val="24"/>
          <w:szCs w:val="24"/>
        </w:rPr>
        <w:t>Társaság</w:t>
      </w:r>
      <w:r w:rsidR="000D0432" w:rsidRPr="00EA6638">
        <w:rPr>
          <w:rFonts w:ascii="Times New Roman" w:hAnsi="Times New Roman" w:cs="Times New Roman"/>
          <w:sz w:val="24"/>
          <w:szCs w:val="24"/>
        </w:rPr>
        <w:t xml:space="preserve"> </w:t>
      </w:r>
      <w:r w:rsidR="000D0432" w:rsidRPr="00EA6638">
        <w:rPr>
          <w:rFonts w:ascii="Times New Roman" w:hAnsi="Times New Roman" w:cs="Times New Roman"/>
          <w:bCs/>
          <w:sz w:val="24"/>
          <w:szCs w:val="24"/>
        </w:rPr>
        <w:t xml:space="preserve">tulajdonában lévő </w:t>
      </w:r>
      <w:r w:rsidR="000D0432" w:rsidRPr="00EA6638">
        <w:rPr>
          <w:rFonts w:ascii="Times New Roman" w:hAnsi="Times New Roman" w:cs="Times New Roman"/>
          <w:sz w:val="24"/>
          <w:szCs w:val="24"/>
        </w:rPr>
        <w:t>ingó- és ingatlan</w:t>
      </w:r>
      <w:r w:rsidR="000D0432" w:rsidRPr="000D0432">
        <w:rPr>
          <w:rFonts w:ascii="Times New Roman" w:hAnsi="Times New Roman" w:cs="Times New Roman"/>
          <w:sz w:val="24"/>
          <w:szCs w:val="24"/>
        </w:rPr>
        <w:t xml:space="preserve"> vagyonelemek</w:t>
      </w:r>
      <w:r w:rsidRPr="000D0432">
        <w:rPr>
          <w:rFonts w:ascii="Times New Roman" w:hAnsi="Times New Roman" w:cs="Times New Roman"/>
          <w:sz w:val="24"/>
          <w:szCs w:val="24"/>
        </w:rPr>
        <w:t xml:space="preserve"> (ide értve az immateriális javakat is) összessége</w:t>
      </w:r>
      <w:r w:rsidR="000D0432" w:rsidRPr="000D0432">
        <w:rPr>
          <w:rFonts w:ascii="Times New Roman" w:hAnsi="Times New Roman" w:cs="Times New Roman"/>
          <w:sz w:val="24"/>
          <w:szCs w:val="24"/>
        </w:rPr>
        <w:t>.</w:t>
      </w:r>
    </w:p>
    <w:p w14:paraId="3B7693AB" w14:textId="4AE84343" w:rsidR="00105574" w:rsidRDefault="00105574" w:rsidP="00DC212A">
      <w:pPr>
        <w:pStyle w:val="Listaszerbekezds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értékesítés kizárólag az alábbi rendelet és rendelkezések szerint történhet:</w:t>
      </w:r>
    </w:p>
    <w:p w14:paraId="17405DD7" w14:textId="77777777" w:rsidR="00105574" w:rsidRDefault="00105574" w:rsidP="00105574">
      <w:pPr>
        <w:pStyle w:val="Listaszerbekezds"/>
        <w:ind w:left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021B5C" w14:textId="4F0BEAED" w:rsidR="00D73274" w:rsidRPr="00D73274" w:rsidRDefault="00BC020D" w:rsidP="00105574">
      <w:pPr>
        <w:pStyle w:val="Listaszerbekezds"/>
        <w:ind w:left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Társasági vagyonra, beruházásra vonatkozó közös szabályok a Szombathely Megyei Jogú Város Önkormányzata vagyonáról szóló 40/2014. (XII.23.) önkormányzati rendelet 20.§ szerint</w:t>
      </w:r>
      <w:r w:rsidR="00D73274" w:rsidRPr="00D73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81B1900" w14:textId="77777777" w:rsidR="00D73274" w:rsidRDefault="00D73274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598C29F" w14:textId="42C9C4EC" w:rsidR="00DC212A" w:rsidRDefault="00105574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20.§ (1) Gazdasági</w:t>
      </w:r>
      <w:r w:rsidR="00DC212A" w:rsidRPr="00554B29">
        <w:rPr>
          <w:rFonts w:ascii="Times New Roman" w:hAnsi="Times New Roman" w:cs="Times New Roman"/>
          <w:sz w:val="24"/>
          <w:szCs w:val="24"/>
        </w:rPr>
        <w:t xml:space="preserve"> társaság tulajdonában lévő ing</w:t>
      </w:r>
      <w:r w:rsidR="002A6ED9">
        <w:rPr>
          <w:rFonts w:ascii="Times New Roman" w:hAnsi="Times New Roman" w:cs="Times New Roman"/>
          <w:sz w:val="24"/>
          <w:szCs w:val="24"/>
        </w:rPr>
        <w:t>a</w:t>
      </w:r>
      <w:r w:rsidR="00DC212A" w:rsidRPr="00554B29">
        <w:rPr>
          <w:rFonts w:ascii="Times New Roman" w:hAnsi="Times New Roman" w:cs="Times New Roman"/>
          <w:sz w:val="24"/>
          <w:szCs w:val="24"/>
        </w:rPr>
        <w:t xml:space="preserve">tlan </w:t>
      </w:r>
      <w:r w:rsidR="00554B29">
        <w:rPr>
          <w:rFonts w:ascii="Times New Roman" w:hAnsi="Times New Roman" w:cs="Times New Roman"/>
          <w:sz w:val="24"/>
          <w:szCs w:val="24"/>
        </w:rPr>
        <w:t>és port</w:t>
      </w:r>
      <w:r w:rsidR="00BC020D">
        <w:rPr>
          <w:rFonts w:ascii="Times New Roman" w:hAnsi="Times New Roman" w:cs="Times New Roman"/>
          <w:sz w:val="24"/>
          <w:szCs w:val="24"/>
        </w:rPr>
        <w:t>f</w:t>
      </w:r>
      <w:r w:rsidR="00554B29">
        <w:rPr>
          <w:rFonts w:ascii="Times New Roman" w:hAnsi="Times New Roman" w:cs="Times New Roman"/>
          <w:sz w:val="24"/>
          <w:szCs w:val="24"/>
        </w:rPr>
        <w:t xml:space="preserve">ólió </w:t>
      </w:r>
      <w:r w:rsidR="00DC212A" w:rsidRPr="00554B29">
        <w:rPr>
          <w:rFonts w:ascii="Times New Roman" w:hAnsi="Times New Roman" w:cs="Times New Roman"/>
          <w:sz w:val="24"/>
          <w:szCs w:val="24"/>
        </w:rPr>
        <w:t>vagyon elidegenítés</w:t>
      </w:r>
      <w:r w:rsidR="00554B29" w:rsidRPr="00554B29">
        <w:rPr>
          <w:rFonts w:ascii="Times New Roman" w:hAnsi="Times New Roman" w:cs="Times New Roman"/>
          <w:sz w:val="24"/>
          <w:szCs w:val="24"/>
        </w:rPr>
        <w:t>ér</w:t>
      </w:r>
      <w:r w:rsidR="00554B29">
        <w:rPr>
          <w:rFonts w:ascii="Times New Roman" w:hAnsi="Times New Roman" w:cs="Times New Roman"/>
          <w:sz w:val="24"/>
          <w:szCs w:val="24"/>
        </w:rPr>
        <w:t>e, megterhelésére, beruházásra üzleti tervnek megfelelően kerülhet sor.</w:t>
      </w:r>
      <w:r w:rsidR="009876EC">
        <w:rPr>
          <w:rFonts w:ascii="Times New Roman" w:hAnsi="Times New Roman" w:cs="Times New Roman"/>
          <w:sz w:val="24"/>
          <w:szCs w:val="24"/>
        </w:rPr>
        <w:t xml:space="preserve"> Az üzleti tervben tervezett elidegenítés, megterhelés, beruházás kérdésében</w:t>
      </w:r>
    </w:p>
    <w:p w14:paraId="020579C6" w14:textId="77777777" w:rsidR="002A6ED9" w:rsidRDefault="002A6ED9" w:rsidP="002A6ED9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414A496" w14:textId="0ED413E1" w:rsidR="009876EC" w:rsidRDefault="009876EC" w:rsidP="009876E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millió forint forgalmi érték felett a Közgyűlés,</w:t>
      </w:r>
    </w:p>
    <w:p w14:paraId="439FCB2B" w14:textId="302E859B" w:rsidR="009876EC" w:rsidRDefault="009876EC" w:rsidP="009876E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15-35 millió forint forgalmi érték között a gazdasági ügyeket ellátó bizottság,</w:t>
      </w:r>
    </w:p>
    <w:p w14:paraId="351D4B2F" w14:textId="60A546F8" w:rsidR="009876EC" w:rsidRPr="00BE2C4C" w:rsidRDefault="009876EC" w:rsidP="009876E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C4C">
        <w:rPr>
          <w:rFonts w:ascii="Times New Roman" w:hAnsi="Times New Roman" w:cs="Times New Roman"/>
          <w:sz w:val="24"/>
          <w:szCs w:val="24"/>
        </w:rPr>
        <w:t>15 millió forint forgalmi érték alatt a polgármester dönt.</w:t>
      </w:r>
    </w:p>
    <w:p w14:paraId="799E414A" w14:textId="628A2F10" w:rsidR="002A6ED9" w:rsidRDefault="00105574" w:rsidP="002A6E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Gazdasági</w:t>
      </w:r>
      <w:r w:rsidR="002A6ED9" w:rsidRPr="002A6ED9">
        <w:rPr>
          <w:rFonts w:ascii="Times New Roman" w:hAnsi="Times New Roman" w:cs="Times New Roman"/>
          <w:sz w:val="24"/>
          <w:szCs w:val="24"/>
        </w:rPr>
        <w:t xml:space="preserve"> társaság tulajdonában lévő ing</w:t>
      </w:r>
      <w:r w:rsidR="002A6ED9">
        <w:rPr>
          <w:rFonts w:ascii="Times New Roman" w:hAnsi="Times New Roman" w:cs="Times New Roman"/>
          <w:sz w:val="24"/>
          <w:szCs w:val="24"/>
        </w:rPr>
        <w:t>a</w:t>
      </w:r>
      <w:r w:rsidR="002A6ED9" w:rsidRPr="002A6ED9">
        <w:rPr>
          <w:rFonts w:ascii="Times New Roman" w:hAnsi="Times New Roman" w:cs="Times New Roman"/>
          <w:sz w:val="24"/>
          <w:szCs w:val="24"/>
        </w:rPr>
        <w:t>tlan és port</w:t>
      </w:r>
      <w:r w:rsidR="00BC020D">
        <w:rPr>
          <w:rFonts w:ascii="Times New Roman" w:hAnsi="Times New Roman" w:cs="Times New Roman"/>
          <w:sz w:val="24"/>
          <w:szCs w:val="24"/>
        </w:rPr>
        <w:t>f</w:t>
      </w:r>
      <w:r w:rsidR="002A6ED9" w:rsidRPr="002A6ED9">
        <w:rPr>
          <w:rFonts w:ascii="Times New Roman" w:hAnsi="Times New Roman" w:cs="Times New Roman"/>
          <w:sz w:val="24"/>
          <w:szCs w:val="24"/>
        </w:rPr>
        <w:t>ólió vagyon üzleti tervben nem szereplő elidegenítés, megterhelés, beruházás kérdésében</w:t>
      </w:r>
      <w:r w:rsidR="002A6ED9">
        <w:rPr>
          <w:rFonts w:ascii="Times New Roman" w:hAnsi="Times New Roman" w:cs="Times New Roman"/>
          <w:sz w:val="24"/>
          <w:szCs w:val="24"/>
        </w:rPr>
        <w:t xml:space="preserve"> minden esetben a Közgyűlés dönt.</w:t>
      </w:r>
    </w:p>
    <w:p w14:paraId="220FA784" w14:textId="2C2E5EB9" w:rsidR="00BC020D" w:rsidRPr="007A0DEB" w:rsidRDefault="007A0DEB" w:rsidP="00D73274">
      <w:pPr>
        <w:pStyle w:val="Listaszerbekezds"/>
        <w:ind w:left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Vas Megyei Temetkezési Kft. Alapító Okirata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(2021. május 26.) </w:t>
      </w:r>
      <w:r w:rsidRPr="007A0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alapján:</w:t>
      </w:r>
    </w:p>
    <w:p w14:paraId="32A9431E" w14:textId="77777777" w:rsidR="00BC020D" w:rsidRDefault="00BC020D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84A835" w14:textId="7E3D44C5" w:rsidR="007A0DEB" w:rsidRDefault="007A0DEB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határozathozatala szükséges</w:t>
      </w:r>
    </w:p>
    <w:p w14:paraId="5FF0BD92" w14:textId="0DEF8C8C" w:rsidR="007A0DEB" w:rsidRDefault="007A0DEB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11.3.15 a Társaság tulajdonában álló ingatlanok, tárgyi eszközök, értékpapírok, tulajdoni részesedést jelentő befektetések vagy vagyoni értékű jogok, követelések, egyéb vagyonelemek tulajdonjoga bármely jogcímen történő átruházásának, megterhelésének vagy azokra</w:t>
      </w:r>
      <w:r w:rsidR="0011261C">
        <w:rPr>
          <w:rFonts w:ascii="Times New Roman" w:hAnsi="Times New Roman" w:cs="Times New Roman"/>
          <w:sz w:val="24"/>
          <w:szCs w:val="24"/>
        </w:rPr>
        <w:t xml:space="preserve"> ilyen jogügyletet eredményező jog (ideértve a vételi, eladási és az elővásárlási jogot is) alapításának engedélyezése, amennyiben a jogügyletben érintett vagyon értéke </w:t>
      </w:r>
      <w:r w:rsidR="0011261C" w:rsidRPr="00BE2C4C">
        <w:rPr>
          <w:rFonts w:ascii="Times New Roman" w:hAnsi="Times New Roman" w:cs="Times New Roman"/>
          <w:sz w:val="24"/>
          <w:szCs w:val="24"/>
        </w:rPr>
        <w:t>a 10.000.000,- forintot meghaladja;</w:t>
      </w:r>
    </w:p>
    <w:p w14:paraId="36F98723" w14:textId="77777777" w:rsidR="0011261C" w:rsidRDefault="0011261C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D8CA86C" w14:textId="77777777" w:rsidR="00036216" w:rsidRDefault="00036216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76B1CBA" w14:textId="6F466B4A" w:rsidR="002A6ED9" w:rsidRDefault="002A6ED9" w:rsidP="00D73274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 tulajdonát képező olyan ingó vagyontárgy értékesítésének módjáról, amelynek könyv szerinti értéke nem haladja meg a</w:t>
      </w:r>
      <w:r w:rsidR="00BE2C4C">
        <w:rPr>
          <w:rFonts w:ascii="Times New Roman" w:hAnsi="Times New Roman" w:cs="Times New Roman"/>
          <w:sz w:val="24"/>
          <w:szCs w:val="24"/>
        </w:rPr>
        <w:t>z 5.000.000</w:t>
      </w:r>
      <w:r>
        <w:rPr>
          <w:rFonts w:ascii="Times New Roman" w:hAnsi="Times New Roman" w:cs="Times New Roman"/>
          <w:sz w:val="24"/>
          <w:szCs w:val="24"/>
        </w:rPr>
        <w:t xml:space="preserve"> Ft, azaz </w:t>
      </w:r>
      <w:r w:rsidR="00BE2C4C">
        <w:rPr>
          <w:rFonts w:ascii="Times New Roman" w:hAnsi="Times New Roman" w:cs="Times New Roman"/>
          <w:sz w:val="24"/>
          <w:szCs w:val="24"/>
        </w:rPr>
        <w:t>öt</w:t>
      </w:r>
      <w:r>
        <w:rPr>
          <w:rFonts w:ascii="Times New Roman" w:hAnsi="Times New Roman" w:cs="Times New Roman"/>
          <w:sz w:val="24"/>
          <w:szCs w:val="24"/>
        </w:rPr>
        <w:t>millió forint összeget az ügyvezető jogosult egyedi eljárásban döntést hozni.</w:t>
      </w:r>
    </w:p>
    <w:p w14:paraId="7DC0457D" w14:textId="3583A35E" w:rsidR="002A6ED9" w:rsidRDefault="00D73274" w:rsidP="00D7327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Azon ingó vagyontárgyak értékesítését, melyeknek a könyv szerinti értéke meghaladja az </w:t>
      </w:r>
      <w:r w:rsidR="003D71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.000.000,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azaz </w:t>
      </w:r>
      <w:r w:rsidR="003D715A">
        <w:rPr>
          <w:rFonts w:ascii="Times New Roman" w:hAnsi="Times New Roman" w:cs="Times New Roman"/>
          <w:sz w:val="24"/>
          <w:szCs w:val="24"/>
        </w:rPr>
        <w:t>öt</w:t>
      </w:r>
      <w:r>
        <w:rPr>
          <w:rFonts w:ascii="Times New Roman" w:hAnsi="Times New Roman" w:cs="Times New Roman"/>
          <w:sz w:val="24"/>
          <w:szCs w:val="24"/>
        </w:rPr>
        <w:t>millió forint összeget, versenyeztetés, licitálás útján kell megvalósítani.</w:t>
      </w:r>
    </w:p>
    <w:p w14:paraId="66199241" w14:textId="77777777" w:rsidR="00D73274" w:rsidRPr="00D73274" w:rsidRDefault="00D73274" w:rsidP="00D73274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14:paraId="59015968" w14:textId="4C9C08A5" w:rsidR="00554B29" w:rsidRPr="00D73274" w:rsidRDefault="00D73274" w:rsidP="00D73274">
      <w:pPr>
        <w:pStyle w:val="Listaszerbekezds"/>
        <w:numPr>
          <w:ilvl w:val="0"/>
          <w:numId w:val="3"/>
        </w:numPr>
        <w:ind w:left="851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Licittel kapcsolatos szabályozás:</w:t>
      </w:r>
    </w:p>
    <w:p w14:paraId="5BD4A4EA" w14:textId="77777777" w:rsidR="00AE4FFD" w:rsidRDefault="00AE4FFD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licittel kapcsolatos információkat a társaságnak sajtó útján is meg kell hirdetni:</w:t>
      </w:r>
    </w:p>
    <w:p w14:paraId="0D188C46" w14:textId="351AC3FE" w:rsidR="00AE4FFD" w:rsidRDefault="00AE4FFD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F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E4FFD">
        <w:rPr>
          <w:rFonts w:ascii="Times New Roman" w:hAnsi="Times New Roman" w:cs="Times New Roman"/>
          <w:sz w:val="24"/>
          <w:szCs w:val="24"/>
        </w:rPr>
        <w:t>) 5.000.000,</w:t>
      </w:r>
      <w:proofErr w:type="spellStart"/>
      <w:r w:rsidRPr="00AE4FFD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E4FFD">
        <w:rPr>
          <w:rFonts w:ascii="Times New Roman" w:hAnsi="Times New Roman" w:cs="Times New Roman"/>
          <w:sz w:val="24"/>
          <w:szCs w:val="24"/>
        </w:rPr>
        <w:t xml:space="preserve">, azaz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AE4FFD">
        <w:rPr>
          <w:rFonts w:ascii="Times New Roman" w:hAnsi="Times New Roman" w:cs="Times New Roman"/>
          <w:sz w:val="24"/>
          <w:szCs w:val="24"/>
        </w:rPr>
        <w:t>tmillió forint könyv szerinti értéket meghaladó, de 10.000.000,</w:t>
      </w:r>
      <w:proofErr w:type="spellStart"/>
      <w:r w:rsidRPr="00AE4FFD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E4FFD">
        <w:rPr>
          <w:rFonts w:ascii="Times New Roman" w:hAnsi="Times New Roman" w:cs="Times New Roman"/>
          <w:sz w:val="24"/>
          <w:szCs w:val="24"/>
        </w:rPr>
        <w:t xml:space="preserve">, azaz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E4FFD">
        <w:rPr>
          <w:rFonts w:ascii="Times New Roman" w:hAnsi="Times New Roman" w:cs="Times New Roman"/>
          <w:sz w:val="24"/>
          <w:szCs w:val="24"/>
        </w:rPr>
        <w:t xml:space="preserve">ízmillió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E4FFD">
        <w:rPr>
          <w:rFonts w:ascii="Times New Roman" w:hAnsi="Times New Roman" w:cs="Times New Roman"/>
          <w:sz w:val="24"/>
          <w:szCs w:val="24"/>
        </w:rPr>
        <w:t xml:space="preserve">orint könyv szerinti értéket el nem érő vagyontárgy esetén </w:t>
      </w:r>
      <w:r>
        <w:rPr>
          <w:rFonts w:ascii="Times New Roman" w:hAnsi="Times New Roman" w:cs="Times New Roman"/>
          <w:sz w:val="24"/>
          <w:szCs w:val="24"/>
        </w:rPr>
        <w:t>egy</w:t>
      </w:r>
      <w:r w:rsidRPr="00AE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helyi, megyei sajtóban</w:t>
      </w:r>
      <w:r w:rsidRPr="00AE4FFD">
        <w:rPr>
          <w:rFonts w:ascii="Times New Roman" w:hAnsi="Times New Roman" w:cs="Times New Roman"/>
          <w:sz w:val="24"/>
          <w:szCs w:val="24"/>
        </w:rPr>
        <w:t>,</w:t>
      </w:r>
    </w:p>
    <w:p w14:paraId="556ABE61" w14:textId="46CF972F" w:rsidR="00D546CC" w:rsidRDefault="00AE4FFD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4FFD">
        <w:rPr>
          <w:rFonts w:ascii="Times New Roman" w:hAnsi="Times New Roman" w:cs="Times New Roman"/>
          <w:sz w:val="24"/>
          <w:szCs w:val="24"/>
        </w:rPr>
        <w:lastRenderedPageBreak/>
        <w:t>b) 10.000.000,</w:t>
      </w:r>
      <w:proofErr w:type="spellStart"/>
      <w:r w:rsidRPr="00AE4FFD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E4FFD">
        <w:rPr>
          <w:rFonts w:ascii="Times New Roman" w:hAnsi="Times New Roman" w:cs="Times New Roman"/>
          <w:sz w:val="24"/>
          <w:szCs w:val="24"/>
        </w:rPr>
        <w:t xml:space="preserve">, azaz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E4FFD">
        <w:rPr>
          <w:rFonts w:ascii="Times New Roman" w:hAnsi="Times New Roman" w:cs="Times New Roman"/>
          <w:sz w:val="24"/>
          <w:szCs w:val="24"/>
        </w:rPr>
        <w:t xml:space="preserve">ízmillió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E4FFD">
        <w:rPr>
          <w:rFonts w:ascii="Times New Roman" w:hAnsi="Times New Roman" w:cs="Times New Roman"/>
          <w:sz w:val="24"/>
          <w:szCs w:val="24"/>
        </w:rPr>
        <w:t>orint könyv szerinti értéket meghaladó vagyontárgy esetén egy országos napilapban</w:t>
      </w:r>
      <w:r>
        <w:rPr>
          <w:rFonts w:ascii="Times New Roman" w:hAnsi="Times New Roman" w:cs="Times New Roman"/>
          <w:sz w:val="24"/>
          <w:szCs w:val="24"/>
        </w:rPr>
        <w:t xml:space="preserve"> is közzé kell tenni.</w:t>
      </w:r>
    </w:p>
    <w:p w14:paraId="301DE78D" w14:textId="6875BCE2" w:rsidR="00DC212A" w:rsidRDefault="00AE4FFD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4FFD">
        <w:rPr>
          <w:rFonts w:ascii="Times New Roman" w:hAnsi="Times New Roman" w:cs="Times New Roman"/>
          <w:sz w:val="24"/>
          <w:szCs w:val="24"/>
        </w:rPr>
        <w:t>A licitálásra vonatkozó kiírásnak tartalmaznia kell a kikiáltási árat azzal a figyelmeztetéssel, hogy a licit nyertese az az ajánlattevő lesz, aki a kikiáltási árhoz képest a legmagasabb összegű ellenszolgáltatás megfizetésére tesz ajánlatot.</w:t>
      </w:r>
    </w:p>
    <w:p w14:paraId="32386E4F" w14:textId="77777777" w:rsidR="00D00E6B" w:rsidRDefault="00D00E6B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00E6B">
        <w:rPr>
          <w:rFonts w:ascii="Times New Roman" w:hAnsi="Times New Roman" w:cs="Times New Roman"/>
          <w:sz w:val="24"/>
          <w:szCs w:val="24"/>
        </w:rPr>
        <w:t>A licitálás időpontját úgy kell meghatározni, hogy a kiírás közzététele, egyben a licit kezdete és a licitálás lezárása között legalább 10 (tíz) nap különbség legyen.</w:t>
      </w:r>
    </w:p>
    <w:p w14:paraId="2F8CDDC6" w14:textId="77777777" w:rsidR="00D00E6B" w:rsidRDefault="00D00E6B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00E6B">
        <w:rPr>
          <w:rFonts w:ascii="Times New Roman" w:hAnsi="Times New Roman" w:cs="Times New Roman"/>
          <w:sz w:val="24"/>
          <w:szCs w:val="24"/>
        </w:rPr>
        <w:t xml:space="preserve">Amennyiben a társaság a licitáló jognyilatkozatát elfogadja a szerződés létrejön. Elállás </w:t>
      </w:r>
      <w:proofErr w:type="gramStart"/>
      <w:r w:rsidRPr="00D00E6B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D00E6B">
        <w:rPr>
          <w:rFonts w:ascii="Times New Roman" w:hAnsi="Times New Roman" w:cs="Times New Roman"/>
          <w:sz w:val="24"/>
          <w:szCs w:val="24"/>
        </w:rPr>
        <w:t xml:space="preserve"> a liciten meghatározott vételár 15 %-a kötbér, amelyet a licitáló köteles a társaság részére megfizetni.</w:t>
      </w:r>
    </w:p>
    <w:p w14:paraId="492B7D72" w14:textId="77777777" w:rsidR="00D00E6B" w:rsidRDefault="00D00E6B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00E6B">
        <w:rPr>
          <w:rFonts w:ascii="Times New Roman" w:hAnsi="Times New Roman" w:cs="Times New Roman"/>
          <w:sz w:val="24"/>
          <w:szCs w:val="24"/>
        </w:rPr>
        <w:t>A licitre vonatkozó felhívás a licitálás lezárásáig visszavonható, amelyet a meghirdetéssel azonos módon kell közzétenni.</w:t>
      </w:r>
    </w:p>
    <w:p w14:paraId="54E8FFE7" w14:textId="77777777" w:rsidR="00D00E6B" w:rsidRDefault="00D00E6B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00E6B">
        <w:rPr>
          <w:rFonts w:ascii="Times New Roman" w:hAnsi="Times New Roman" w:cs="Times New Roman"/>
          <w:sz w:val="24"/>
          <w:szCs w:val="24"/>
        </w:rPr>
        <w:t xml:space="preserve">A licit nyertese az általa ajánlott ellenszolgáltatás összegét a pályázati felhívásban meghatározottak szerint, de legkésőbb a licittől számított 30 napon belül </w:t>
      </w:r>
      <w:proofErr w:type="spellStart"/>
      <w:r w:rsidRPr="00D00E6B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D00E6B">
        <w:rPr>
          <w:rFonts w:ascii="Times New Roman" w:hAnsi="Times New Roman" w:cs="Times New Roman"/>
          <w:sz w:val="24"/>
          <w:szCs w:val="24"/>
        </w:rPr>
        <w:t xml:space="preserve"> köteles megfizetni. Megfizetésére részletfizetés és halasztás nem adható.</w:t>
      </w:r>
    </w:p>
    <w:p w14:paraId="6A70C41B" w14:textId="34C66A34" w:rsidR="00AE4FFD" w:rsidRPr="00554B29" w:rsidRDefault="00D00E6B" w:rsidP="00AE4FF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00E6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társaság</w:t>
      </w:r>
      <w:r w:rsidRPr="00D00E6B">
        <w:rPr>
          <w:rFonts w:ascii="Times New Roman" w:hAnsi="Times New Roman" w:cs="Times New Roman"/>
          <w:sz w:val="24"/>
          <w:szCs w:val="24"/>
        </w:rPr>
        <w:t xml:space="preserve"> csak a licit nyertesével vagy - visszalépése esetén, ha azt a pályázati felhívásban előírta - a második legmagasabb összegű ajánlatot tevő személyével kötheti meg a szerződést. A szerződést a licit napjától számított 15 napon belül meg kell kötni. A szerződés megkötésével és a vételár megfizetésével az ajánlatot tevők ajánlati kötöttsége megszűnik.</w:t>
      </w:r>
    </w:p>
    <w:p w14:paraId="25D2958D" w14:textId="77777777" w:rsidR="00D546CC" w:rsidRPr="00740940" w:rsidRDefault="00D546CC" w:rsidP="00D546CC">
      <w:pPr>
        <w:ind w:left="11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829C6B" w14:textId="53A34F37" w:rsidR="004C102D" w:rsidRDefault="00740940" w:rsidP="00740940">
      <w:pPr>
        <w:pStyle w:val="Listaszerbekezds"/>
        <w:numPr>
          <w:ilvl w:val="0"/>
          <w:numId w:val="3"/>
        </w:numPr>
        <w:ind w:left="851" w:hanging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Záró rendelkezések</w:t>
      </w:r>
    </w:p>
    <w:p w14:paraId="3A327CBC" w14:textId="77777777" w:rsidR="00740940" w:rsidRDefault="00740940" w:rsidP="00740940">
      <w:pPr>
        <w:pStyle w:val="Listaszerbekezds"/>
        <w:ind w:left="502" w:right="72"/>
        <w:jc w:val="both"/>
        <w:rPr>
          <w:sz w:val="26"/>
          <w:szCs w:val="26"/>
        </w:rPr>
      </w:pPr>
    </w:p>
    <w:p w14:paraId="449EC4EA" w14:textId="4A2A512B" w:rsidR="00740940" w:rsidRPr="00740940" w:rsidRDefault="00740940" w:rsidP="00740940">
      <w:pPr>
        <w:pStyle w:val="Listaszerbekezds"/>
        <w:ind w:left="851" w:right="72"/>
        <w:jc w:val="both"/>
        <w:rPr>
          <w:rFonts w:ascii="Times New Roman" w:hAnsi="Times New Roman" w:cs="Times New Roman"/>
          <w:sz w:val="24"/>
          <w:szCs w:val="24"/>
        </w:rPr>
      </w:pPr>
      <w:r w:rsidRPr="00740940">
        <w:rPr>
          <w:rFonts w:ascii="Times New Roman" w:hAnsi="Times New Roman" w:cs="Times New Roman"/>
          <w:sz w:val="24"/>
          <w:szCs w:val="24"/>
        </w:rPr>
        <w:t xml:space="preserve">Jelen </w:t>
      </w:r>
      <w:r>
        <w:rPr>
          <w:rFonts w:ascii="Times New Roman" w:hAnsi="Times New Roman" w:cs="Times New Roman"/>
          <w:sz w:val="24"/>
          <w:szCs w:val="24"/>
        </w:rPr>
        <w:t>Vagyonértékesítési</w:t>
      </w:r>
      <w:r w:rsidRPr="00740940">
        <w:rPr>
          <w:rFonts w:ascii="Times New Roman" w:hAnsi="Times New Roman" w:cs="Times New Roman"/>
          <w:sz w:val="24"/>
          <w:szCs w:val="24"/>
        </w:rPr>
        <w:t xml:space="preserve"> Szabályzat rendelkezéseit a hatálybalépésének napjától kell alkalmazni.</w:t>
      </w:r>
    </w:p>
    <w:p w14:paraId="19F52FEF" w14:textId="77777777" w:rsidR="00740940" w:rsidRPr="00740940" w:rsidRDefault="00740940" w:rsidP="00740940">
      <w:pPr>
        <w:pStyle w:val="Listaszerbekezds"/>
        <w:ind w:left="851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6E3C9F04" w14:textId="652E70EC" w:rsidR="00740940" w:rsidRPr="00740940" w:rsidRDefault="00740940" w:rsidP="00740940">
      <w:pPr>
        <w:pStyle w:val="Listaszerbekezds"/>
        <w:ind w:left="851" w:right="72"/>
        <w:jc w:val="both"/>
        <w:rPr>
          <w:rFonts w:ascii="Times New Roman" w:hAnsi="Times New Roman" w:cs="Times New Roman"/>
          <w:sz w:val="24"/>
          <w:szCs w:val="24"/>
        </w:rPr>
      </w:pPr>
      <w:r w:rsidRPr="00740940">
        <w:rPr>
          <w:rFonts w:ascii="Times New Roman" w:hAnsi="Times New Roman" w:cs="Times New Roman"/>
          <w:sz w:val="24"/>
          <w:szCs w:val="24"/>
        </w:rPr>
        <w:t>A Szabályzat 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F8419A">
        <w:rPr>
          <w:rFonts w:ascii="Times New Roman" w:hAnsi="Times New Roman" w:cs="Times New Roman"/>
          <w:sz w:val="24"/>
          <w:szCs w:val="24"/>
        </w:rPr>
        <w:t>…</w:t>
      </w:r>
      <w:r w:rsidR="00F8419A" w:rsidRPr="00EA6638">
        <w:rPr>
          <w:rFonts w:ascii="Times New Roman" w:hAnsi="Times New Roman" w:cs="Times New Roman"/>
          <w:sz w:val="24"/>
          <w:szCs w:val="24"/>
        </w:rPr>
        <w:t>…</w:t>
      </w:r>
      <w:r w:rsidRPr="00EA66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940">
        <w:rPr>
          <w:rFonts w:ascii="Times New Roman" w:hAnsi="Times New Roman" w:cs="Times New Roman"/>
          <w:sz w:val="24"/>
          <w:szCs w:val="24"/>
        </w:rPr>
        <w:t xml:space="preserve"> napjával lép hatályba.</w:t>
      </w:r>
    </w:p>
    <w:p w14:paraId="5174E214" w14:textId="77777777" w:rsidR="00740940" w:rsidRPr="00740940" w:rsidRDefault="00740940" w:rsidP="00740940">
      <w:pPr>
        <w:ind w:left="85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0940" w:rsidRPr="0074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xedsys">
    <w:altName w:val="Lucida Console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148E"/>
    <w:multiLevelType w:val="hybridMultilevel"/>
    <w:tmpl w:val="65F85F76"/>
    <w:lvl w:ilvl="0" w:tplc="11622BB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60C0A"/>
    <w:multiLevelType w:val="multilevel"/>
    <w:tmpl w:val="F3243C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A36DE6"/>
    <w:multiLevelType w:val="hybridMultilevel"/>
    <w:tmpl w:val="A094E2EA"/>
    <w:lvl w:ilvl="0" w:tplc="E842F1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7F7F1D"/>
    <w:multiLevelType w:val="hybridMultilevel"/>
    <w:tmpl w:val="C9204ED4"/>
    <w:lvl w:ilvl="0" w:tplc="8C9A5AE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2D"/>
    <w:rsid w:val="00036216"/>
    <w:rsid w:val="00040957"/>
    <w:rsid w:val="000D0432"/>
    <w:rsid w:val="00100E6D"/>
    <w:rsid w:val="00105574"/>
    <w:rsid w:val="0011261C"/>
    <w:rsid w:val="002913CA"/>
    <w:rsid w:val="002A6ED9"/>
    <w:rsid w:val="002F5C49"/>
    <w:rsid w:val="00386D7B"/>
    <w:rsid w:val="00391DD6"/>
    <w:rsid w:val="003D715A"/>
    <w:rsid w:val="004A2C4E"/>
    <w:rsid w:val="004B7910"/>
    <w:rsid w:val="004C102D"/>
    <w:rsid w:val="00554B29"/>
    <w:rsid w:val="0065150F"/>
    <w:rsid w:val="007110F5"/>
    <w:rsid w:val="00740940"/>
    <w:rsid w:val="007A0DEB"/>
    <w:rsid w:val="007F1923"/>
    <w:rsid w:val="00895724"/>
    <w:rsid w:val="009048E6"/>
    <w:rsid w:val="009437F7"/>
    <w:rsid w:val="009876EC"/>
    <w:rsid w:val="00A95C88"/>
    <w:rsid w:val="00AE4FFD"/>
    <w:rsid w:val="00BC020D"/>
    <w:rsid w:val="00BE2C4C"/>
    <w:rsid w:val="00C21A5B"/>
    <w:rsid w:val="00C57C77"/>
    <w:rsid w:val="00D00E6B"/>
    <w:rsid w:val="00D546CC"/>
    <w:rsid w:val="00D73274"/>
    <w:rsid w:val="00DC212A"/>
    <w:rsid w:val="00E83E95"/>
    <w:rsid w:val="00EA6638"/>
    <w:rsid w:val="00F040DB"/>
    <w:rsid w:val="00F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FF9"/>
  <w15:chartTrackingRefBased/>
  <w15:docId w15:val="{7FB9B3B0-E97D-4E85-9E42-35CB94F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751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Kaposiné dr. Reményi Viola</cp:lastModifiedBy>
  <cp:revision>14</cp:revision>
  <cp:lastPrinted>2023-11-07T07:00:00Z</cp:lastPrinted>
  <dcterms:created xsi:type="dcterms:W3CDTF">2023-11-15T07:53:00Z</dcterms:created>
  <dcterms:modified xsi:type="dcterms:W3CDTF">2024-01-12T09:01:00Z</dcterms:modified>
</cp:coreProperties>
</file>